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39F" w:rsidRDefault="00A7539F" w:rsidP="00F160D7">
      <w:pPr>
        <w:spacing w:before="0" w:after="0" w:line="240" w:lineRule="auto"/>
        <w:ind w:right="0"/>
        <w:jc w:val="center"/>
        <w:rPr>
          <w:rFonts w:eastAsia="Times New Roman"/>
          <w:b/>
        </w:rPr>
      </w:pPr>
      <w:bookmarkStart w:id="0" w:name="_GoBack"/>
      <w:bookmarkEnd w:id="0"/>
      <w:r>
        <w:rPr>
          <w:rFonts w:eastAsia="Times New Roman"/>
          <w:b/>
        </w:rPr>
        <w:t xml:space="preserve">Tenure and Promotion </w:t>
      </w:r>
      <w:r w:rsidR="00D60008">
        <w:rPr>
          <w:rFonts w:eastAsia="Times New Roman"/>
          <w:b/>
        </w:rPr>
        <w:t>Statement</w:t>
      </w:r>
      <w:r w:rsidR="00BD3F90">
        <w:rPr>
          <w:rFonts w:eastAsia="Times New Roman"/>
          <w:b/>
        </w:rPr>
        <w:t>:</w:t>
      </w:r>
    </w:p>
    <w:p w:rsidR="00F160D7" w:rsidRDefault="00A7539F" w:rsidP="00F160D7">
      <w:pPr>
        <w:spacing w:before="0" w:after="0" w:line="240" w:lineRule="auto"/>
        <w:ind w:right="0"/>
        <w:jc w:val="center"/>
        <w:rPr>
          <w:rFonts w:eastAsia="Times New Roman"/>
          <w:b/>
        </w:rPr>
      </w:pPr>
      <w:r>
        <w:rPr>
          <w:rFonts w:eastAsia="Times New Roman"/>
          <w:b/>
        </w:rPr>
        <w:t xml:space="preserve">Expectations </w:t>
      </w:r>
      <w:r w:rsidR="00BD3F90">
        <w:rPr>
          <w:rFonts w:eastAsia="Times New Roman"/>
          <w:b/>
        </w:rPr>
        <w:t>R</w:t>
      </w:r>
      <w:r>
        <w:rPr>
          <w:rFonts w:eastAsia="Times New Roman"/>
          <w:b/>
        </w:rPr>
        <w:t>egarding T</w:t>
      </w:r>
      <w:r w:rsidR="00D60008">
        <w:rPr>
          <w:rFonts w:eastAsia="Times New Roman"/>
          <w:b/>
        </w:rPr>
        <w:t>eaching</w:t>
      </w:r>
      <w:r>
        <w:rPr>
          <w:rFonts w:eastAsia="Times New Roman"/>
          <w:b/>
        </w:rPr>
        <w:t>, Research, and Service</w:t>
      </w:r>
    </w:p>
    <w:p w:rsidR="00D60008" w:rsidRDefault="00D60008" w:rsidP="00F160D7">
      <w:pPr>
        <w:spacing w:before="0" w:after="0" w:line="240" w:lineRule="auto"/>
        <w:ind w:right="0"/>
        <w:jc w:val="center"/>
        <w:rPr>
          <w:rFonts w:eastAsia="Times New Roman"/>
          <w:b/>
        </w:rPr>
      </w:pPr>
      <w:r>
        <w:rPr>
          <w:rFonts w:eastAsia="Times New Roman"/>
          <w:b/>
        </w:rPr>
        <w:t>Philosophy</w:t>
      </w:r>
      <w:r w:rsidR="00B305A4">
        <w:rPr>
          <w:rFonts w:eastAsia="Times New Roman"/>
          <w:b/>
        </w:rPr>
        <w:t xml:space="preserve"> Department</w:t>
      </w:r>
    </w:p>
    <w:p w:rsidR="00D60008" w:rsidRDefault="00D60008" w:rsidP="00F160D7">
      <w:pPr>
        <w:spacing w:before="0" w:after="0" w:line="240" w:lineRule="auto"/>
        <w:ind w:right="0"/>
        <w:jc w:val="center"/>
        <w:rPr>
          <w:rFonts w:eastAsia="Times New Roman"/>
          <w:b/>
        </w:rPr>
      </w:pPr>
      <w:r>
        <w:rPr>
          <w:rFonts w:eastAsia="Times New Roman"/>
          <w:b/>
        </w:rPr>
        <w:t xml:space="preserve">2016 </w:t>
      </w:r>
    </w:p>
    <w:p w:rsidR="00F160D7" w:rsidRDefault="00F160D7" w:rsidP="00F160D7">
      <w:pPr>
        <w:spacing w:before="0" w:after="0" w:line="240" w:lineRule="auto"/>
        <w:ind w:right="0"/>
        <w:rPr>
          <w:rFonts w:eastAsia="Times New Roman"/>
          <w:b/>
        </w:rPr>
      </w:pPr>
    </w:p>
    <w:p w:rsidR="00B77B5C" w:rsidRDefault="00B77B5C" w:rsidP="004E635B">
      <w:pPr>
        <w:spacing w:before="0" w:after="0" w:line="480" w:lineRule="auto"/>
        <w:ind w:right="0"/>
        <w:rPr>
          <w:rFonts w:eastAsia="Times New Roman"/>
        </w:rPr>
      </w:pPr>
    </w:p>
    <w:p w:rsidR="009909A9" w:rsidRDefault="009909A9" w:rsidP="004E635B">
      <w:pPr>
        <w:spacing w:before="0" w:after="0" w:line="480" w:lineRule="auto"/>
        <w:ind w:right="0"/>
        <w:rPr>
          <w:rFonts w:eastAsia="Times New Roman"/>
        </w:rPr>
      </w:pPr>
      <w:r>
        <w:rPr>
          <w:rFonts w:eastAsia="Times New Roman"/>
        </w:rPr>
        <w:t>T</w:t>
      </w:r>
      <w:r w:rsidR="00D60008">
        <w:rPr>
          <w:rFonts w:eastAsia="Times New Roman"/>
        </w:rPr>
        <w:t xml:space="preserve">he </w:t>
      </w:r>
      <w:r w:rsidR="00B305A4">
        <w:rPr>
          <w:rFonts w:eastAsia="Times New Roman"/>
        </w:rPr>
        <w:t xml:space="preserve">Philosophy </w:t>
      </w:r>
      <w:r w:rsidR="00D60008">
        <w:rPr>
          <w:rFonts w:eastAsia="Times New Roman"/>
        </w:rPr>
        <w:t>Department</w:t>
      </w:r>
      <w:r>
        <w:rPr>
          <w:rFonts w:eastAsia="Times New Roman"/>
        </w:rPr>
        <w:t xml:space="preserve"> </w:t>
      </w:r>
      <w:r w:rsidR="00D60008">
        <w:rPr>
          <w:rFonts w:eastAsia="Times New Roman"/>
        </w:rPr>
        <w:t>strive</w:t>
      </w:r>
      <w:r>
        <w:rPr>
          <w:rFonts w:eastAsia="Times New Roman"/>
        </w:rPr>
        <w:t>s</w:t>
      </w:r>
      <w:r w:rsidR="00D60008">
        <w:rPr>
          <w:rFonts w:eastAsia="Times New Roman"/>
        </w:rPr>
        <w:t xml:space="preserve"> to develop students who appreciate and demonstrate rigorous thinking as a way of life. Given the diversity of careers our majors and minors pursue, we feel that it is incumbent upon </w:t>
      </w:r>
      <w:r>
        <w:rPr>
          <w:rFonts w:eastAsia="Times New Roman"/>
        </w:rPr>
        <w:t>the Department</w:t>
      </w:r>
      <w:r w:rsidR="00D60008">
        <w:rPr>
          <w:rFonts w:eastAsia="Times New Roman"/>
        </w:rPr>
        <w:t xml:space="preserve"> to prepare students to address not only the practical concerns of life, but also more conceptual concerns.  In order to address the practical, our students develop critical reasoning skills, careful listening skills, and </w:t>
      </w:r>
      <w:r>
        <w:rPr>
          <w:rFonts w:eastAsia="Times New Roman"/>
        </w:rPr>
        <w:t xml:space="preserve">the ability to defend well-considered beliefs.  Alongside these abilities, students are also required to engage in the consideration of questions that are unique to human flourishing—What is the nature of truth? What is the nature of justice? </w:t>
      </w:r>
      <w:r w:rsidR="00B305A4">
        <w:rPr>
          <w:rFonts w:eastAsia="Times New Roman"/>
        </w:rPr>
        <w:t>What, i</w:t>
      </w:r>
      <w:r>
        <w:rPr>
          <w:rFonts w:eastAsia="Times New Roman"/>
        </w:rPr>
        <w:t xml:space="preserve">n the end, is it to lead “a good life”?    </w:t>
      </w:r>
    </w:p>
    <w:p w:rsidR="009909A9" w:rsidRDefault="009909A9" w:rsidP="004E635B">
      <w:pPr>
        <w:spacing w:before="0" w:after="0" w:line="480" w:lineRule="auto"/>
        <w:ind w:right="0"/>
        <w:rPr>
          <w:rFonts w:eastAsia="Times New Roman"/>
        </w:rPr>
      </w:pPr>
    </w:p>
    <w:p w:rsidR="009909A9" w:rsidRDefault="009156ED" w:rsidP="004E635B">
      <w:pPr>
        <w:spacing w:before="0" w:after="0" w:line="480" w:lineRule="auto"/>
        <w:ind w:right="0"/>
        <w:rPr>
          <w:rFonts w:eastAsia="Times New Roman"/>
        </w:rPr>
      </w:pPr>
      <w:r>
        <w:rPr>
          <w:rFonts w:eastAsia="Times New Roman"/>
        </w:rPr>
        <w:t xml:space="preserve">In order to equip students with the above noted skills, members of the Philosophy Department recognize the importance of </w:t>
      </w:r>
      <w:r w:rsidR="006A778F">
        <w:rPr>
          <w:rFonts w:eastAsia="Times New Roman"/>
        </w:rPr>
        <w:t xml:space="preserve">teaching and </w:t>
      </w:r>
      <w:r w:rsidR="00B77B5C">
        <w:rPr>
          <w:rFonts w:eastAsia="Times New Roman"/>
        </w:rPr>
        <w:t>advis</w:t>
      </w:r>
      <w:r>
        <w:rPr>
          <w:rFonts w:eastAsia="Times New Roman"/>
        </w:rPr>
        <w:t xml:space="preserve">ing, but also active role-modeling.  Each member of the Department views “doing philosophy” as more than “just a job.”  Philosophy is a way of life for our faculty.  It is marked by the teaching we do, the advising we provide, and the fact that we remain philosophers outside the classroom as well.  </w:t>
      </w:r>
    </w:p>
    <w:p w:rsidR="00F160D7" w:rsidRDefault="009909A9" w:rsidP="00F160D7">
      <w:pPr>
        <w:spacing w:before="0" w:after="0" w:line="240" w:lineRule="auto"/>
        <w:ind w:right="0"/>
        <w:rPr>
          <w:rFonts w:eastAsia="Times New Roman"/>
        </w:rPr>
      </w:pPr>
      <w:r>
        <w:rPr>
          <w:rFonts w:eastAsia="Times New Roman"/>
        </w:rPr>
        <w:t xml:space="preserve"> </w:t>
      </w:r>
      <w:r w:rsidR="00D60008">
        <w:rPr>
          <w:rFonts w:eastAsia="Times New Roman"/>
        </w:rPr>
        <w:t xml:space="preserve">       </w:t>
      </w:r>
    </w:p>
    <w:p w:rsidR="00F160D7" w:rsidRDefault="004E635B" w:rsidP="00B77B5C">
      <w:pPr>
        <w:spacing w:before="0" w:after="0" w:line="480" w:lineRule="auto"/>
        <w:ind w:right="0"/>
        <w:rPr>
          <w:rFonts w:eastAsia="Times New Roman"/>
        </w:rPr>
      </w:pPr>
      <w:r>
        <w:rPr>
          <w:rFonts w:eastAsia="Times New Roman"/>
        </w:rPr>
        <w:t xml:space="preserve">In light of the above, </w:t>
      </w:r>
      <w:r w:rsidR="0098311E">
        <w:rPr>
          <w:rFonts w:eastAsia="Times New Roman"/>
        </w:rPr>
        <w:t xml:space="preserve">we have three major components of student development within the discipline: First, </w:t>
      </w:r>
      <w:r w:rsidR="00B305A4">
        <w:rPr>
          <w:rFonts w:eastAsia="Times New Roman"/>
        </w:rPr>
        <w:t xml:space="preserve">studies in </w:t>
      </w:r>
      <w:r w:rsidR="0098311E">
        <w:rPr>
          <w:rFonts w:eastAsia="Times New Roman"/>
        </w:rPr>
        <w:t>the history of philosophy (ancient, modern, analytic, and existential</w:t>
      </w:r>
      <w:r w:rsidR="00B77B5C">
        <w:rPr>
          <w:rFonts w:eastAsia="Times New Roman"/>
        </w:rPr>
        <w:t>ism</w:t>
      </w:r>
      <w:r w:rsidR="0098311E">
        <w:rPr>
          <w:rFonts w:eastAsia="Times New Roman"/>
        </w:rPr>
        <w:t>/phenomenolog</w:t>
      </w:r>
      <w:r w:rsidR="00B77B5C">
        <w:rPr>
          <w:rFonts w:eastAsia="Times New Roman"/>
        </w:rPr>
        <w:t>y</w:t>
      </w:r>
      <w:r w:rsidR="0098311E">
        <w:rPr>
          <w:rFonts w:eastAsia="Times New Roman"/>
        </w:rPr>
        <w:t xml:space="preserve">); secondly, </w:t>
      </w:r>
      <w:r w:rsidR="00B305A4">
        <w:rPr>
          <w:rFonts w:eastAsia="Times New Roman"/>
        </w:rPr>
        <w:t xml:space="preserve">studies in </w:t>
      </w:r>
      <w:r w:rsidR="0098311E">
        <w:rPr>
          <w:rFonts w:eastAsia="Times New Roman"/>
        </w:rPr>
        <w:t>the method of philosophy (logic and critical reasoning); and finally</w:t>
      </w:r>
      <w:r w:rsidR="00B77B5C">
        <w:rPr>
          <w:rFonts w:eastAsia="Times New Roman"/>
        </w:rPr>
        <w:t>,</w:t>
      </w:r>
      <w:r w:rsidR="0098311E">
        <w:rPr>
          <w:rFonts w:eastAsia="Times New Roman"/>
        </w:rPr>
        <w:t xml:space="preserve"> </w:t>
      </w:r>
      <w:r w:rsidR="00B305A4">
        <w:rPr>
          <w:rFonts w:eastAsia="Times New Roman"/>
        </w:rPr>
        <w:t xml:space="preserve">studies in </w:t>
      </w:r>
      <w:r w:rsidR="0098311E">
        <w:rPr>
          <w:rFonts w:eastAsia="Times New Roman"/>
        </w:rPr>
        <w:t xml:space="preserve">courses devoted to specific areas </w:t>
      </w:r>
      <w:r w:rsidR="00B77B5C">
        <w:rPr>
          <w:rFonts w:eastAsia="Times New Roman"/>
        </w:rPr>
        <w:t xml:space="preserve">within </w:t>
      </w:r>
      <w:r w:rsidR="00B305A4">
        <w:rPr>
          <w:rFonts w:eastAsia="Times New Roman"/>
        </w:rPr>
        <w:t>philosophy</w:t>
      </w:r>
      <w:r w:rsidR="0098311E">
        <w:rPr>
          <w:rFonts w:eastAsia="Times New Roman"/>
        </w:rPr>
        <w:t xml:space="preserve"> (for example, </w:t>
      </w:r>
      <w:r w:rsidR="00B77B5C">
        <w:rPr>
          <w:rFonts w:eastAsia="Times New Roman"/>
        </w:rPr>
        <w:t xml:space="preserve">philosophy of </w:t>
      </w:r>
      <w:r w:rsidR="0098311E">
        <w:rPr>
          <w:rFonts w:eastAsia="Times New Roman"/>
        </w:rPr>
        <w:t xml:space="preserve">law, </w:t>
      </w:r>
      <w:r w:rsidR="00B77B5C">
        <w:rPr>
          <w:rFonts w:eastAsia="Times New Roman"/>
        </w:rPr>
        <w:t xml:space="preserve">philosophy of </w:t>
      </w:r>
      <w:r w:rsidR="0098311E">
        <w:rPr>
          <w:rFonts w:eastAsia="Times New Roman"/>
        </w:rPr>
        <w:t xml:space="preserve">religion, </w:t>
      </w:r>
      <w:r w:rsidR="00B77B5C">
        <w:rPr>
          <w:rFonts w:eastAsia="Times New Roman"/>
        </w:rPr>
        <w:t xml:space="preserve">decision theory, </w:t>
      </w:r>
      <w:r w:rsidR="00B305A4">
        <w:rPr>
          <w:rFonts w:eastAsia="Times New Roman"/>
        </w:rPr>
        <w:t xml:space="preserve">ethical theory, </w:t>
      </w:r>
      <w:r w:rsidR="00B77B5C">
        <w:rPr>
          <w:rFonts w:eastAsia="Times New Roman"/>
        </w:rPr>
        <w:t xml:space="preserve">philosophy </w:t>
      </w:r>
      <w:r w:rsidR="00B77B5C">
        <w:rPr>
          <w:rFonts w:eastAsia="Times New Roman"/>
        </w:rPr>
        <w:lastRenderedPageBreak/>
        <w:t xml:space="preserve">of </w:t>
      </w:r>
      <w:r w:rsidR="0098311E">
        <w:rPr>
          <w:rFonts w:eastAsia="Times New Roman"/>
        </w:rPr>
        <w:t xml:space="preserve">mind, </w:t>
      </w:r>
      <w:r w:rsidR="00B77B5C">
        <w:rPr>
          <w:rFonts w:eastAsia="Times New Roman"/>
        </w:rPr>
        <w:t xml:space="preserve">philosophy of </w:t>
      </w:r>
      <w:r w:rsidR="0098311E">
        <w:rPr>
          <w:rFonts w:eastAsia="Times New Roman"/>
        </w:rPr>
        <w:t xml:space="preserve">art).  </w:t>
      </w:r>
      <w:r w:rsidR="00B77B5C">
        <w:rPr>
          <w:rFonts w:eastAsia="Times New Roman"/>
        </w:rPr>
        <w:t>W</w:t>
      </w:r>
      <w:r w:rsidR="0098311E">
        <w:rPr>
          <w:rFonts w:eastAsia="Times New Roman"/>
        </w:rPr>
        <w:t>e</w:t>
      </w:r>
      <w:r w:rsidR="00B77B5C">
        <w:rPr>
          <w:rFonts w:eastAsia="Times New Roman"/>
        </w:rPr>
        <w:t xml:space="preserve"> also</w:t>
      </w:r>
      <w:r w:rsidR="0098311E">
        <w:rPr>
          <w:rFonts w:eastAsia="Times New Roman"/>
        </w:rPr>
        <w:t xml:space="preserve"> require that our majors complete </w:t>
      </w:r>
      <w:r w:rsidR="00B77B5C">
        <w:rPr>
          <w:rFonts w:eastAsia="Times New Roman"/>
        </w:rPr>
        <w:t>a</w:t>
      </w:r>
      <w:r w:rsidR="0098311E">
        <w:rPr>
          <w:rFonts w:eastAsia="Times New Roman"/>
        </w:rPr>
        <w:t xml:space="preserve"> seminar in philosophy. </w:t>
      </w:r>
      <w:r w:rsidR="00BD3F90">
        <w:rPr>
          <w:rFonts w:eastAsia="Times New Roman"/>
        </w:rPr>
        <w:t xml:space="preserve">Additionally, for those majors who intend to do graduate work in philosophy, we strongly recommend the Senior Thesis. </w:t>
      </w:r>
      <w:r w:rsidR="0098311E">
        <w:rPr>
          <w:rFonts w:eastAsia="Times New Roman"/>
        </w:rPr>
        <w:t xml:space="preserve">Throughout each of these courses, </w:t>
      </w:r>
      <w:r>
        <w:rPr>
          <w:rFonts w:eastAsia="Times New Roman"/>
        </w:rPr>
        <w:t>t</w:t>
      </w:r>
      <w:r w:rsidR="00F160D7">
        <w:rPr>
          <w:rFonts w:eastAsia="Times New Roman"/>
        </w:rPr>
        <w:t>eaching</w:t>
      </w:r>
      <w:r w:rsidR="0098311E">
        <w:rPr>
          <w:rFonts w:eastAsia="Times New Roman"/>
        </w:rPr>
        <w:t xml:space="preserve"> </w:t>
      </w:r>
      <w:r w:rsidR="00B305A4">
        <w:rPr>
          <w:rFonts w:eastAsia="Times New Roman"/>
        </w:rPr>
        <w:t>is</w:t>
      </w:r>
      <w:r>
        <w:rPr>
          <w:rFonts w:eastAsia="Times New Roman"/>
        </w:rPr>
        <w:t xml:space="preserve"> </w:t>
      </w:r>
      <w:r w:rsidR="0098311E">
        <w:rPr>
          <w:rFonts w:eastAsia="Times New Roman"/>
        </w:rPr>
        <w:t>given priority.</w:t>
      </w:r>
      <w:r w:rsidR="00CD4AC7">
        <w:rPr>
          <w:rFonts w:eastAsia="Times New Roman"/>
        </w:rPr>
        <w:t xml:space="preserve">  This is especially important since most of our students have had no prior exposure to philosophy, our course content is often quite abstract in nature, and our commitment to the use of primary texts.</w:t>
      </w:r>
      <w:r w:rsidR="0098311E">
        <w:rPr>
          <w:rFonts w:eastAsia="Times New Roman"/>
        </w:rPr>
        <w:t xml:space="preserve">  </w:t>
      </w:r>
      <w:r w:rsidR="006C6340">
        <w:rPr>
          <w:rFonts w:eastAsia="Times New Roman"/>
        </w:rPr>
        <w:t xml:space="preserve">In order to determine the success of </w:t>
      </w:r>
      <w:r w:rsidR="00B305A4">
        <w:rPr>
          <w:rFonts w:eastAsia="Times New Roman"/>
        </w:rPr>
        <w:t xml:space="preserve">the </w:t>
      </w:r>
      <w:r w:rsidR="00B77B5C">
        <w:rPr>
          <w:rFonts w:eastAsia="Times New Roman"/>
        </w:rPr>
        <w:t xml:space="preserve">department’s instructional </w:t>
      </w:r>
      <w:r w:rsidR="006C6340">
        <w:rPr>
          <w:rFonts w:eastAsia="Times New Roman"/>
        </w:rPr>
        <w:t>objectives, we focus on</w:t>
      </w:r>
      <w:r w:rsidR="00B77B5C">
        <w:rPr>
          <w:rFonts w:eastAsia="Times New Roman"/>
        </w:rPr>
        <w:t xml:space="preserve"> both course design and course delivery: </w:t>
      </w:r>
      <w:r w:rsidR="006C6340">
        <w:rPr>
          <w:rFonts w:eastAsia="Times New Roman"/>
        </w:rPr>
        <w:t xml:space="preserve"> </w:t>
      </w:r>
    </w:p>
    <w:p w:rsidR="00F160D7" w:rsidRDefault="00F160D7" w:rsidP="00F160D7">
      <w:pPr>
        <w:spacing w:before="0" w:after="0" w:line="240" w:lineRule="auto"/>
        <w:ind w:right="0"/>
        <w:rPr>
          <w:rFonts w:eastAsia="Times New Roman"/>
        </w:rPr>
      </w:pPr>
    </w:p>
    <w:p w:rsidR="00171DE8" w:rsidRDefault="006C6340" w:rsidP="00B77B5C">
      <w:pPr>
        <w:spacing w:before="0" w:after="0" w:line="240" w:lineRule="auto"/>
        <w:ind w:left="720" w:right="0"/>
        <w:rPr>
          <w:rFonts w:eastAsia="Times New Roman"/>
        </w:rPr>
      </w:pPr>
      <w:r>
        <w:rPr>
          <w:rFonts w:eastAsia="Times New Roman"/>
          <w:i/>
          <w:u w:val="single"/>
        </w:rPr>
        <w:t>Course</w:t>
      </w:r>
      <w:r w:rsidR="00F160D7">
        <w:rPr>
          <w:rFonts w:eastAsia="Times New Roman"/>
          <w:i/>
          <w:u w:val="single"/>
        </w:rPr>
        <w:t xml:space="preserve"> </w:t>
      </w:r>
      <w:r>
        <w:rPr>
          <w:rFonts w:eastAsia="Times New Roman"/>
          <w:i/>
          <w:u w:val="single"/>
        </w:rPr>
        <w:t>Design</w:t>
      </w:r>
      <w:r w:rsidR="00F160D7">
        <w:rPr>
          <w:rFonts w:eastAsia="Times New Roman"/>
        </w:rPr>
        <w:t>—</w:t>
      </w:r>
      <w:r>
        <w:rPr>
          <w:rFonts w:eastAsia="Times New Roman"/>
        </w:rPr>
        <w:t>what is</w:t>
      </w:r>
      <w:r w:rsidR="00F160D7">
        <w:rPr>
          <w:rFonts w:eastAsia="Times New Roman"/>
        </w:rPr>
        <w:t xml:space="preserve"> the course content</w:t>
      </w:r>
      <w:r w:rsidR="00171DE8">
        <w:rPr>
          <w:rFonts w:eastAsia="Times New Roman"/>
        </w:rPr>
        <w:t>?  What role does it play in the development of the student within the department?  What role does it play in the context of a liberal arts college? Basic evaluation of this component come</w:t>
      </w:r>
      <w:r w:rsidR="00B77B5C">
        <w:rPr>
          <w:rFonts w:eastAsia="Times New Roman"/>
        </w:rPr>
        <w:t>s</w:t>
      </w:r>
      <w:r w:rsidR="00171DE8">
        <w:rPr>
          <w:rFonts w:eastAsia="Times New Roman"/>
        </w:rPr>
        <w:t xml:space="preserve"> from the faculty member’s </w:t>
      </w:r>
      <w:r w:rsidR="00B77B5C">
        <w:rPr>
          <w:rFonts w:eastAsia="Times New Roman"/>
        </w:rPr>
        <w:t>pre-tenure statement, tenure statement, or post-tenure statement</w:t>
      </w:r>
      <w:r w:rsidR="00171DE8">
        <w:rPr>
          <w:rFonts w:eastAsia="Times New Roman"/>
        </w:rPr>
        <w:t xml:space="preserve"> a</w:t>
      </w:r>
      <w:r w:rsidR="00B77B5C">
        <w:rPr>
          <w:rFonts w:eastAsia="Times New Roman"/>
        </w:rPr>
        <w:t>s well as</w:t>
      </w:r>
      <w:r w:rsidR="00171DE8">
        <w:rPr>
          <w:rFonts w:eastAsia="Times New Roman"/>
        </w:rPr>
        <w:t xml:space="preserve"> the department chair’s report.  Input for these </w:t>
      </w:r>
      <w:r w:rsidR="00B77B5C">
        <w:rPr>
          <w:rFonts w:eastAsia="Times New Roman"/>
        </w:rPr>
        <w:t>documents</w:t>
      </w:r>
      <w:r w:rsidR="00171DE8">
        <w:rPr>
          <w:rFonts w:eastAsia="Times New Roman"/>
        </w:rPr>
        <w:t xml:space="preserve"> will include, but not be limited to:</w:t>
      </w:r>
    </w:p>
    <w:p w:rsidR="00BB4A0F" w:rsidRDefault="00BB4A0F" w:rsidP="00171DE8">
      <w:pPr>
        <w:spacing w:before="0" w:after="0" w:line="240" w:lineRule="auto"/>
        <w:ind w:right="0"/>
        <w:rPr>
          <w:rFonts w:eastAsia="Times New Roman"/>
        </w:rPr>
      </w:pPr>
    </w:p>
    <w:p w:rsidR="00B77B5C" w:rsidRPr="00BB4A0F" w:rsidRDefault="00171DE8" w:rsidP="00BB4A0F">
      <w:pPr>
        <w:pStyle w:val="ListParagraph"/>
        <w:numPr>
          <w:ilvl w:val="0"/>
          <w:numId w:val="11"/>
        </w:numPr>
        <w:spacing w:before="0" w:after="0" w:line="240" w:lineRule="auto"/>
        <w:ind w:right="0"/>
        <w:jc w:val="both"/>
        <w:rPr>
          <w:rFonts w:eastAsia="Times New Roman"/>
        </w:rPr>
      </w:pPr>
      <w:r w:rsidRPr="00BB4A0F">
        <w:rPr>
          <w:rFonts w:eastAsia="Times New Roman"/>
        </w:rPr>
        <w:t xml:space="preserve">Review of the syllabus </w:t>
      </w:r>
    </w:p>
    <w:p w:rsidR="00BB4A0F" w:rsidRPr="00BB4A0F" w:rsidRDefault="00B77B5C" w:rsidP="00BB4A0F">
      <w:pPr>
        <w:pStyle w:val="ListParagraph"/>
        <w:numPr>
          <w:ilvl w:val="0"/>
          <w:numId w:val="11"/>
        </w:numPr>
        <w:spacing w:before="0" w:after="0" w:line="240" w:lineRule="auto"/>
        <w:ind w:right="0"/>
        <w:jc w:val="both"/>
        <w:rPr>
          <w:rFonts w:eastAsia="Times New Roman"/>
        </w:rPr>
      </w:pPr>
      <w:r w:rsidRPr="00BB4A0F">
        <w:rPr>
          <w:rFonts w:eastAsia="Times New Roman"/>
        </w:rPr>
        <w:t xml:space="preserve">Familiarity with “best practices” within </w:t>
      </w:r>
      <w:r w:rsidR="00BB4A0F" w:rsidRPr="00BB4A0F">
        <w:rPr>
          <w:rFonts w:eastAsia="Times New Roman"/>
        </w:rPr>
        <w:t>the discipline of Philosophy</w:t>
      </w:r>
    </w:p>
    <w:p w:rsidR="00BB4A0F" w:rsidRPr="00BB4A0F" w:rsidRDefault="00BB4A0F" w:rsidP="00BB4A0F">
      <w:pPr>
        <w:pStyle w:val="ListParagraph"/>
        <w:numPr>
          <w:ilvl w:val="0"/>
          <w:numId w:val="11"/>
        </w:numPr>
        <w:spacing w:before="0" w:after="0" w:line="240" w:lineRule="auto"/>
        <w:ind w:right="0"/>
        <w:jc w:val="both"/>
        <w:rPr>
          <w:rFonts w:eastAsia="Times New Roman"/>
        </w:rPr>
      </w:pPr>
      <w:r w:rsidRPr="00BB4A0F">
        <w:rPr>
          <w:rFonts w:eastAsia="Times New Roman"/>
        </w:rPr>
        <w:t>Collaborative efforts among departmental members</w:t>
      </w:r>
    </w:p>
    <w:p w:rsidR="00171DE8" w:rsidRDefault="00171DE8" w:rsidP="00BB4A0F">
      <w:pPr>
        <w:spacing w:before="0" w:after="0" w:line="240" w:lineRule="auto"/>
        <w:ind w:left="1500" w:right="0"/>
        <w:rPr>
          <w:rFonts w:eastAsia="Times New Roman"/>
        </w:rPr>
      </w:pPr>
    </w:p>
    <w:p w:rsidR="00F160D7" w:rsidRDefault="00171DE8" w:rsidP="00171DE8">
      <w:pPr>
        <w:spacing w:before="0" w:after="0" w:line="240" w:lineRule="auto"/>
        <w:ind w:right="0"/>
        <w:rPr>
          <w:rFonts w:eastAsia="Times New Roman"/>
        </w:rPr>
      </w:pPr>
      <w:r>
        <w:rPr>
          <w:rFonts w:eastAsia="Times New Roman"/>
        </w:rPr>
        <w:t xml:space="preserve"> </w:t>
      </w:r>
    </w:p>
    <w:p w:rsidR="00F160D7" w:rsidRDefault="00F160D7" w:rsidP="00F160D7">
      <w:pPr>
        <w:spacing w:before="0" w:after="0" w:line="240" w:lineRule="auto"/>
        <w:ind w:right="0"/>
        <w:rPr>
          <w:rFonts w:eastAsia="Times New Roman"/>
        </w:rPr>
      </w:pPr>
    </w:p>
    <w:p w:rsidR="00F160D7" w:rsidRDefault="00BB4A0F" w:rsidP="00BB4A0F">
      <w:pPr>
        <w:spacing w:before="0" w:after="0" w:line="240" w:lineRule="auto"/>
        <w:ind w:left="720" w:right="0"/>
        <w:rPr>
          <w:rFonts w:eastAsia="Times New Roman"/>
        </w:rPr>
      </w:pPr>
      <w:r>
        <w:rPr>
          <w:rFonts w:eastAsia="Times New Roman"/>
          <w:i/>
          <w:u w:val="single"/>
        </w:rPr>
        <w:t>Course</w:t>
      </w:r>
      <w:r w:rsidR="00F160D7">
        <w:rPr>
          <w:rFonts w:eastAsia="Times New Roman"/>
          <w:i/>
          <w:u w:val="single"/>
        </w:rPr>
        <w:t xml:space="preserve"> De</w:t>
      </w:r>
      <w:r w:rsidR="006C6340">
        <w:rPr>
          <w:rFonts w:eastAsia="Times New Roman"/>
          <w:i/>
          <w:u w:val="single"/>
        </w:rPr>
        <w:t>livery</w:t>
      </w:r>
      <w:r w:rsidR="00F160D7">
        <w:rPr>
          <w:rFonts w:eastAsia="Times New Roman"/>
        </w:rPr>
        <w:t xml:space="preserve">—how well does the course </w:t>
      </w:r>
      <w:r w:rsidR="00171DE8">
        <w:rPr>
          <w:rFonts w:eastAsia="Times New Roman"/>
        </w:rPr>
        <w:t>satisfy the</w:t>
      </w:r>
      <w:r w:rsidR="00F160D7">
        <w:rPr>
          <w:rFonts w:eastAsia="Times New Roman"/>
        </w:rPr>
        <w:t xml:space="preserve"> objectives</w:t>
      </w:r>
      <w:r w:rsidR="00171DE8">
        <w:rPr>
          <w:rFonts w:eastAsia="Times New Roman"/>
        </w:rPr>
        <w:t xml:space="preserve"> of the course and the larger objectives of the department</w:t>
      </w:r>
      <w:r w:rsidR="00F160D7">
        <w:rPr>
          <w:rFonts w:eastAsia="Times New Roman"/>
        </w:rPr>
        <w:t xml:space="preserve">?  </w:t>
      </w:r>
      <w:r w:rsidR="00171DE8">
        <w:rPr>
          <w:rFonts w:eastAsia="Times New Roman"/>
        </w:rPr>
        <w:t>E</w:t>
      </w:r>
      <w:r w:rsidR="00F160D7">
        <w:rPr>
          <w:rFonts w:eastAsia="Times New Roman"/>
        </w:rPr>
        <w:t xml:space="preserve">valuation of this </w:t>
      </w:r>
      <w:r w:rsidR="00171DE8">
        <w:rPr>
          <w:rFonts w:eastAsia="Times New Roman"/>
        </w:rPr>
        <w:t>component</w:t>
      </w:r>
      <w:r w:rsidR="00F160D7">
        <w:rPr>
          <w:rFonts w:eastAsia="Times New Roman"/>
        </w:rPr>
        <w:t xml:space="preserve"> will come from the faculty member’s statement and the department chair’s report.  Input will include, but not be limited to:</w:t>
      </w:r>
    </w:p>
    <w:p w:rsidR="00BB4A0F" w:rsidRDefault="00BB4A0F" w:rsidP="00F160D7">
      <w:pPr>
        <w:spacing w:before="0" w:after="0" w:line="240" w:lineRule="auto"/>
        <w:ind w:right="0"/>
        <w:rPr>
          <w:rFonts w:eastAsia="Times New Roman"/>
        </w:rPr>
      </w:pPr>
    </w:p>
    <w:p w:rsidR="00F160D7" w:rsidRPr="00BB4A0F" w:rsidRDefault="00F160D7" w:rsidP="00BB4A0F">
      <w:pPr>
        <w:pStyle w:val="ListParagraph"/>
        <w:numPr>
          <w:ilvl w:val="0"/>
          <w:numId w:val="12"/>
        </w:numPr>
        <w:spacing w:before="0" w:after="0" w:line="240" w:lineRule="auto"/>
        <w:ind w:right="0"/>
        <w:jc w:val="both"/>
        <w:rPr>
          <w:rFonts w:eastAsia="Times New Roman"/>
        </w:rPr>
      </w:pPr>
      <w:r w:rsidRPr="00BB4A0F">
        <w:rPr>
          <w:rFonts w:eastAsia="Times New Roman"/>
        </w:rPr>
        <w:t xml:space="preserve">Review of syllabus </w:t>
      </w:r>
    </w:p>
    <w:p w:rsidR="00F160D7" w:rsidRPr="00BB4A0F" w:rsidRDefault="00F160D7" w:rsidP="00BB4A0F">
      <w:pPr>
        <w:pStyle w:val="ListParagraph"/>
        <w:numPr>
          <w:ilvl w:val="0"/>
          <w:numId w:val="12"/>
        </w:numPr>
        <w:spacing w:before="0" w:after="0" w:line="240" w:lineRule="auto"/>
        <w:ind w:right="0"/>
        <w:jc w:val="both"/>
        <w:rPr>
          <w:rFonts w:eastAsia="Times New Roman"/>
        </w:rPr>
      </w:pPr>
      <w:r w:rsidRPr="00BB4A0F">
        <w:rPr>
          <w:rFonts w:eastAsia="Times New Roman"/>
        </w:rPr>
        <w:t>IDEA quantitative data and student comments</w:t>
      </w:r>
    </w:p>
    <w:p w:rsidR="00F160D7" w:rsidRPr="00BB4A0F" w:rsidRDefault="00BB4A0F" w:rsidP="00BB4A0F">
      <w:pPr>
        <w:pStyle w:val="ListParagraph"/>
        <w:numPr>
          <w:ilvl w:val="0"/>
          <w:numId w:val="12"/>
        </w:numPr>
        <w:spacing w:before="0" w:after="0" w:line="240" w:lineRule="auto"/>
        <w:ind w:right="0"/>
        <w:jc w:val="both"/>
        <w:rPr>
          <w:rFonts w:eastAsia="Times New Roman"/>
        </w:rPr>
      </w:pPr>
      <w:r w:rsidRPr="00BB4A0F">
        <w:rPr>
          <w:rFonts w:eastAsia="Times New Roman"/>
        </w:rPr>
        <w:t>C</w:t>
      </w:r>
      <w:r w:rsidR="00F160D7" w:rsidRPr="00BB4A0F">
        <w:rPr>
          <w:rFonts w:eastAsia="Times New Roman"/>
        </w:rPr>
        <w:t xml:space="preserve">lassroom </w:t>
      </w:r>
      <w:r w:rsidRPr="00BB4A0F">
        <w:rPr>
          <w:rFonts w:eastAsia="Times New Roman"/>
        </w:rPr>
        <w:t xml:space="preserve">observations </w:t>
      </w:r>
      <w:r w:rsidR="00F160D7" w:rsidRPr="00BB4A0F">
        <w:rPr>
          <w:rFonts w:eastAsia="Times New Roman"/>
        </w:rPr>
        <w:t>by department chair</w:t>
      </w:r>
      <w:r w:rsidR="00171DE8" w:rsidRPr="00BB4A0F">
        <w:rPr>
          <w:rFonts w:eastAsia="Times New Roman"/>
        </w:rPr>
        <w:t>,</w:t>
      </w:r>
      <w:r w:rsidR="006C6340" w:rsidRPr="00BB4A0F">
        <w:rPr>
          <w:rFonts w:eastAsia="Times New Roman"/>
        </w:rPr>
        <w:t xml:space="preserve"> others within the department</w:t>
      </w:r>
      <w:r w:rsidR="00171DE8" w:rsidRPr="00BB4A0F">
        <w:rPr>
          <w:rFonts w:eastAsia="Times New Roman"/>
        </w:rPr>
        <w:t>, and the Division Chair</w:t>
      </w:r>
    </w:p>
    <w:p w:rsidR="00F160D7" w:rsidRPr="00BB4A0F" w:rsidRDefault="00F160D7" w:rsidP="00BB4A0F">
      <w:pPr>
        <w:pStyle w:val="ListParagraph"/>
        <w:numPr>
          <w:ilvl w:val="0"/>
          <w:numId w:val="12"/>
        </w:numPr>
        <w:spacing w:before="0" w:after="0" w:line="240" w:lineRule="auto"/>
        <w:ind w:right="0"/>
        <w:jc w:val="both"/>
        <w:rPr>
          <w:rFonts w:eastAsia="Times New Roman"/>
        </w:rPr>
      </w:pPr>
      <w:r w:rsidRPr="00BB4A0F">
        <w:rPr>
          <w:rFonts w:eastAsia="Times New Roman"/>
        </w:rPr>
        <w:t xml:space="preserve">Conversations with </w:t>
      </w:r>
      <w:r w:rsidR="00171DE8" w:rsidRPr="00BB4A0F">
        <w:rPr>
          <w:rFonts w:eastAsia="Times New Roman"/>
        </w:rPr>
        <w:t xml:space="preserve">current </w:t>
      </w:r>
      <w:r w:rsidRPr="00BB4A0F">
        <w:rPr>
          <w:rFonts w:eastAsia="Times New Roman"/>
        </w:rPr>
        <w:t>students</w:t>
      </w:r>
    </w:p>
    <w:p w:rsidR="00F160D7" w:rsidRPr="00BB4A0F" w:rsidRDefault="00F160D7" w:rsidP="00BB4A0F">
      <w:pPr>
        <w:pStyle w:val="ListParagraph"/>
        <w:numPr>
          <w:ilvl w:val="0"/>
          <w:numId w:val="12"/>
        </w:numPr>
        <w:spacing w:before="0" w:after="0" w:line="240" w:lineRule="auto"/>
        <w:ind w:right="0"/>
        <w:jc w:val="both"/>
        <w:rPr>
          <w:rFonts w:eastAsia="Times New Roman"/>
        </w:rPr>
      </w:pPr>
      <w:r w:rsidRPr="00BB4A0F">
        <w:rPr>
          <w:rFonts w:eastAsia="Times New Roman"/>
        </w:rPr>
        <w:t>Questionnaires and conversations with former students</w:t>
      </w:r>
      <w:r w:rsidRPr="00BB4A0F">
        <w:rPr>
          <w:rFonts w:eastAsia="Times New Roman"/>
        </w:rPr>
        <w:tab/>
      </w:r>
    </w:p>
    <w:p w:rsidR="00F160D7" w:rsidRDefault="00F160D7" w:rsidP="00BB4A0F">
      <w:pPr>
        <w:spacing w:before="0" w:after="0" w:line="240" w:lineRule="auto"/>
        <w:ind w:right="0"/>
        <w:jc w:val="both"/>
        <w:rPr>
          <w:rFonts w:eastAsia="Times New Roman"/>
        </w:rPr>
      </w:pPr>
    </w:p>
    <w:p w:rsidR="008C48AE" w:rsidRDefault="004E635B" w:rsidP="004E635B">
      <w:pPr>
        <w:spacing w:line="480" w:lineRule="auto"/>
      </w:pPr>
      <w:r>
        <w:t xml:space="preserve">In addition to teaching, the Department </w:t>
      </w:r>
      <w:r w:rsidR="00BB4A0F">
        <w:t xml:space="preserve">also </w:t>
      </w:r>
      <w:r>
        <w:t>places a high value on research.  We firmly believe that successful teaching goes hand-in-hand with a productive research program.  Whether research takes the form of p</w:t>
      </w:r>
      <w:r w:rsidR="008C48AE">
        <w:t>eer</w:t>
      </w:r>
      <w:r>
        <w:t>-reviewed presentations, publications, or active participation in research seminars, the point of remaining professional</w:t>
      </w:r>
      <w:r w:rsidR="008C48AE">
        <w:t>ly</w:t>
      </w:r>
      <w:r>
        <w:t xml:space="preserve"> active is twofold:  (1) to remain </w:t>
      </w:r>
      <w:r>
        <w:lastRenderedPageBreak/>
        <w:t>current within our respective areas of specialization</w:t>
      </w:r>
      <w:r w:rsidR="008C48AE">
        <w:t>,</w:t>
      </w:r>
      <w:r>
        <w:t xml:space="preserve"> and (2) to model the</w:t>
      </w:r>
      <w:r w:rsidR="008C48AE">
        <w:t xml:space="preserve"> life of an active scholar outside the walls of our classroom and </w:t>
      </w:r>
      <w:r w:rsidR="006A778F">
        <w:t xml:space="preserve">beyond </w:t>
      </w:r>
      <w:r w:rsidR="008C48AE">
        <w:t xml:space="preserve">the boundaries of </w:t>
      </w:r>
      <w:r w:rsidR="006A778F">
        <w:t xml:space="preserve">our </w:t>
      </w:r>
      <w:r w:rsidR="008C48AE">
        <w:t>campus.</w:t>
      </w:r>
      <w:r w:rsidR="001363B3">
        <w:t xml:space="preserve">  </w:t>
      </w:r>
    </w:p>
    <w:p w:rsidR="00BD3F90" w:rsidRDefault="00BD3F90" w:rsidP="00A7539F">
      <w:pPr>
        <w:spacing w:line="480" w:lineRule="auto"/>
      </w:pPr>
    </w:p>
    <w:p w:rsidR="00A7539F" w:rsidRDefault="00A7539F" w:rsidP="00A7539F">
      <w:pPr>
        <w:spacing w:line="480" w:lineRule="auto"/>
      </w:pPr>
      <w:r>
        <w:t>Given the seriousness with which we take our research agenda, we expect probationary faculty in the department to submit, at minimum, copies of the following evidence of their research:</w:t>
      </w:r>
    </w:p>
    <w:p w:rsidR="00A7539F" w:rsidRDefault="00A7539F" w:rsidP="00BD3F90">
      <w:pPr>
        <w:spacing w:line="480" w:lineRule="auto"/>
        <w:ind w:firstLine="720"/>
      </w:pPr>
      <w:r>
        <w:t>EITHER:</w:t>
      </w:r>
    </w:p>
    <w:p w:rsidR="00A7539F" w:rsidRDefault="00A7539F" w:rsidP="00BD3F90">
      <w:pPr>
        <w:spacing w:line="480" w:lineRule="auto"/>
        <w:ind w:left="720"/>
      </w:pPr>
      <w:r>
        <w:t>Three distinct philosophical papers (as opposed to papers on teaching philosophy) published by nationally or internationally recognized peer-reviewed journals or presented at national or international peer-reviewed forums (such as the annual meetings of the American Philosophical Association).</w:t>
      </w:r>
    </w:p>
    <w:p w:rsidR="00A7539F" w:rsidRDefault="00A7539F" w:rsidP="00BD3F90">
      <w:pPr>
        <w:spacing w:line="480" w:lineRule="auto"/>
        <w:ind w:firstLine="720"/>
      </w:pPr>
      <w:r>
        <w:t>OR:</w:t>
      </w:r>
    </w:p>
    <w:p w:rsidR="00A7539F" w:rsidRDefault="00A7539F" w:rsidP="00BD3F90">
      <w:pPr>
        <w:spacing w:line="480" w:lineRule="auto"/>
        <w:ind w:left="720"/>
      </w:pPr>
      <w:r>
        <w:t>One paper published by a leading philosophy journal. We define the term “leading philosophy journal” for 6-year periods. Currently, the list consists of:</w:t>
      </w:r>
    </w:p>
    <w:p w:rsidR="00A7539F" w:rsidRPr="00BD3F90" w:rsidRDefault="00A7539F" w:rsidP="00BD3F90">
      <w:pPr>
        <w:spacing w:line="480" w:lineRule="auto"/>
        <w:ind w:left="2160"/>
        <w:rPr>
          <w:b/>
          <w:i/>
        </w:rPr>
      </w:pPr>
      <w:r w:rsidRPr="00BD3F90">
        <w:rPr>
          <w:b/>
          <w:i/>
        </w:rPr>
        <w:t>The Philosophical Review</w:t>
      </w:r>
    </w:p>
    <w:p w:rsidR="00A7539F" w:rsidRPr="00BD3F90" w:rsidRDefault="00A7539F" w:rsidP="00BD3F90">
      <w:pPr>
        <w:spacing w:line="480" w:lineRule="auto"/>
        <w:ind w:left="2160"/>
        <w:rPr>
          <w:b/>
          <w:i/>
        </w:rPr>
      </w:pPr>
      <w:r w:rsidRPr="00BD3F90">
        <w:rPr>
          <w:b/>
          <w:i/>
        </w:rPr>
        <w:t>The Journal of Philosophy</w:t>
      </w:r>
    </w:p>
    <w:p w:rsidR="00A7539F" w:rsidRPr="00BD3F90" w:rsidRDefault="00A7539F" w:rsidP="00BD3F90">
      <w:pPr>
        <w:spacing w:line="480" w:lineRule="auto"/>
        <w:ind w:left="2160"/>
        <w:rPr>
          <w:b/>
          <w:i/>
        </w:rPr>
      </w:pPr>
      <w:r w:rsidRPr="00BD3F90">
        <w:rPr>
          <w:b/>
          <w:i/>
        </w:rPr>
        <w:t>Mind</w:t>
      </w:r>
    </w:p>
    <w:p w:rsidR="00A7539F" w:rsidRDefault="00A7539F" w:rsidP="00BD3F90">
      <w:pPr>
        <w:spacing w:line="480" w:lineRule="auto"/>
        <w:ind w:firstLine="720"/>
      </w:pPr>
      <w:r>
        <w:t>OR:</w:t>
      </w:r>
    </w:p>
    <w:p w:rsidR="00A7539F" w:rsidRDefault="00A7539F" w:rsidP="00BD3F90">
      <w:pPr>
        <w:spacing w:line="480" w:lineRule="auto"/>
        <w:ind w:firstLine="720"/>
      </w:pPr>
      <w:r>
        <w:t>One scholarly book in philosophy published by a recognized peer-reviewed publisher.</w:t>
      </w:r>
    </w:p>
    <w:p w:rsidR="00A7539F" w:rsidRDefault="00A7539F" w:rsidP="00A7539F">
      <w:pPr>
        <w:spacing w:line="480" w:lineRule="auto"/>
      </w:pPr>
    </w:p>
    <w:p w:rsidR="00A7539F" w:rsidRDefault="00A7539F" w:rsidP="00A7539F">
      <w:pPr>
        <w:spacing w:line="480" w:lineRule="auto"/>
      </w:pPr>
    </w:p>
    <w:p w:rsidR="00B305A4" w:rsidRDefault="008C48AE" w:rsidP="004E635B">
      <w:pPr>
        <w:spacing w:line="480" w:lineRule="auto"/>
      </w:pPr>
      <w:r>
        <w:lastRenderedPageBreak/>
        <w:t xml:space="preserve">Though </w:t>
      </w:r>
      <w:r w:rsidR="006A778F">
        <w:t xml:space="preserve">the Philosophy </w:t>
      </w:r>
      <w:r>
        <w:t xml:space="preserve">Department is </w:t>
      </w:r>
      <w:r w:rsidR="00BB4A0F">
        <w:t xml:space="preserve">relatively </w:t>
      </w:r>
      <w:r>
        <w:t>small in terms of the number of majors and minors,</w:t>
      </w:r>
      <w:r w:rsidR="006A778F">
        <w:t xml:space="preserve"> we continue to grow.  The number of our majors continues to increase slowly, while the number of minors has seen a rapid </w:t>
      </w:r>
      <w:r w:rsidR="00BB4A0F">
        <w:t>increase</w:t>
      </w:r>
      <w:r w:rsidR="006A778F">
        <w:t>. Additionally, we are committed to the College’s general studies courses</w:t>
      </w:r>
      <w:r w:rsidR="00BB4A0F">
        <w:t xml:space="preserve"> (</w:t>
      </w:r>
      <w:r w:rsidR="00A7539F">
        <w:t>FYI</w:t>
      </w:r>
      <w:r w:rsidR="00BB4A0F">
        <w:t xml:space="preserve"> courses, Honors Courses, Learning Communities)</w:t>
      </w:r>
      <w:r w:rsidR="006A778F">
        <w:t>.  We recognize that with this growth and commitment come additional responsibilit</w:t>
      </w:r>
      <w:r w:rsidR="00BB4A0F">
        <w:t>ies</w:t>
      </w:r>
      <w:r w:rsidR="006A778F">
        <w:t xml:space="preserve">, especially in light of the changing nature of our incoming students.  In order to build the “philosophical community” among all of our students, we have </w:t>
      </w:r>
      <w:r w:rsidR="00471A97">
        <w:t xml:space="preserve">recently renewed our commitment to the </w:t>
      </w:r>
      <w:r w:rsidR="006A778F">
        <w:t xml:space="preserve">Socratic Society.  This “Philosophy Club” reaches all students (not only our majors and minors) with an interest in philosophy.  This is an example of only one of the initiatives we have undertaken to enhance </w:t>
      </w:r>
      <w:r w:rsidR="00A31E13">
        <w:t xml:space="preserve">our dedication as a Department to the serious business of </w:t>
      </w:r>
      <w:r w:rsidR="006A778F">
        <w:t>teaching</w:t>
      </w:r>
      <w:r w:rsidR="00471A97">
        <w:t xml:space="preserve"> both inside and outside of the classroom</w:t>
      </w:r>
      <w:r w:rsidR="006A778F">
        <w:t>.</w:t>
      </w:r>
    </w:p>
    <w:p w:rsidR="00BD3F90" w:rsidRDefault="00BD3F90" w:rsidP="004E635B">
      <w:pPr>
        <w:spacing w:line="480" w:lineRule="auto"/>
      </w:pPr>
    </w:p>
    <w:p w:rsidR="00A7539F" w:rsidRDefault="00A7539F" w:rsidP="004E635B">
      <w:pPr>
        <w:spacing w:line="480" w:lineRule="auto"/>
      </w:pPr>
      <w:r>
        <w:t>Given the College-wide emphasis on Service, we expect our faculty members (both probationary and tenured) to be active participants on</w:t>
      </w:r>
      <w:r w:rsidR="00D358E5">
        <w:t xml:space="preserve"> </w:t>
      </w:r>
      <w:r w:rsidR="00BD3F90">
        <w:t>several</w:t>
      </w:r>
      <w:r>
        <w:t xml:space="preserve"> College</w:t>
      </w:r>
      <w:r w:rsidR="00D358E5">
        <w:t xml:space="preserve"> committees and </w:t>
      </w:r>
      <w:r w:rsidR="00BD3F90">
        <w:t>a</w:t>
      </w:r>
      <w:r w:rsidR="00D358E5">
        <w:t xml:space="preserve">dvisory groups.  We also encourage members of the Department to participate in the </w:t>
      </w:r>
      <w:r w:rsidR="00DC33A0">
        <w:t>broader Quad City Community.</w:t>
      </w:r>
      <w:r>
        <w:t xml:space="preserve">   </w:t>
      </w:r>
    </w:p>
    <w:p w:rsidR="00BD3F90" w:rsidRDefault="00BD3F90" w:rsidP="004E635B">
      <w:pPr>
        <w:spacing w:line="480" w:lineRule="auto"/>
      </w:pPr>
    </w:p>
    <w:p w:rsidR="001363B3" w:rsidRDefault="00B305A4" w:rsidP="004E635B">
      <w:pPr>
        <w:spacing w:line="480" w:lineRule="auto"/>
      </w:pPr>
      <w:r>
        <w:t>The teaching that we do, the research we conduct, and the renewed activities of our Socratic Society enable all members of the Department to</w:t>
      </w:r>
      <w:r w:rsidR="001363B3">
        <w:t xml:space="preserve"> skillfully engage in the important task of advising our students.  At a foundational level, we have developed a coherent, integrated program of study that provides committed students with a solid basis for graduate studies in Philosophy.  More broadly speaking, the nature of our major has launched many of our majors and minors into successful studies in medical school, law school, </w:t>
      </w:r>
      <w:r w:rsidR="00471A97">
        <w:t>seminary</w:t>
      </w:r>
      <w:r w:rsidR="001363B3">
        <w:t xml:space="preserve">, and other graduate </w:t>
      </w:r>
      <w:r w:rsidR="001363B3">
        <w:lastRenderedPageBreak/>
        <w:t>or professional programs.   We determine the success of our advising at both the foundational level and at the more interdisciplinary level by a number of measures including, but not limited to:</w:t>
      </w:r>
    </w:p>
    <w:p w:rsidR="001363B3" w:rsidRDefault="001363B3" w:rsidP="001363B3">
      <w:pPr>
        <w:pStyle w:val="ListParagraph"/>
        <w:numPr>
          <w:ilvl w:val="0"/>
          <w:numId w:val="13"/>
        </w:numPr>
        <w:spacing w:line="480" w:lineRule="auto"/>
      </w:pPr>
      <w:r>
        <w:t>Admission rates into graduate school in philosophy</w:t>
      </w:r>
    </w:p>
    <w:p w:rsidR="001363B3" w:rsidRDefault="001363B3" w:rsidP="001363B3">
      <w:pPr>
        <w:pStyle w:val="ListParagraph"/>
        <w:numPr>
          <w:ilvl w:val="0"/>
          <w:numId w:val="13"/>
        </w:numPr>
        <w:spacing w:line="480" w:lineRule="auto"/>
      </w:pPr>
      <w:r>
        <w:t>Admission rates into other graduate and professional programs</w:t>
      </w:r>
    </w:p>
    <w:p w:rsidR="008C48AE" w:rsidRDefault="00CD4AC7" w:rsidP="001363B3">
      <w:pPr>
        <w:pStyle w:val="ListParagraph"/>
        <w:numPr>
          <w:ilvl w:val="0"/>
          <w:numId w:val="13"/>
        </w:numPr>
        <w:spacing w:line="480" w:lineRule="auto"/>
      </w:pPr>
      <w:r>
        <w:t xml:space="preserve">Frequent communication with our graduates during graduate school (and when possible, throughout the development of their professional lives) regarding the effectiveness of our undergraduate program of study.  </w:t>
      </w:r>
      <w:r w:rsidR="001363B3">
        <w:t xml:space="preserve">         </w:t>
      </w:r>
      <w:r w:rsidR="00B305A4">
        <w:t xml:space="preserve"> </w:t>
      </w:r>
      <w:r w:rsidR="006A778F">
        <w:t xml:space="preserve"> </w:t>
      </w:r>
      <w:r w:rsidR="008C48AE">
        <w:t xml:space="preserve">    </w:t>
      </w:r>
    </w:p>
    <w:p w:rsidR="000F295F" w:rsidRDefault="004E635B" w:rsidP="004E635B">
      <w:pPr>
        <w:spacing w:line="480" w:lineRule="auto"/>
      </w:pPr>
      <w:r>
        <w:t xml:space="preserve">   </w:t>
      </w:r>
    </w:p>
    <w:sectPr w:rsidR="000F2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75AE"/>
    <w:multiLevelType w:val="hybridMultilevel"/>
    <w:tmpl w:val="C8BE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54689"/>
    <w:multiLevelType w:val="hybridMultilevel"/>
    <w:tmpl w:val="7AD4B3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1BA203E"/>
    <w:multiLevelType w:val="hybridMultilevel"/>
    <w:tmpl w:val="578E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80AF6"/>
    <w:multiLevelType w:val="hybridMultilevel"/>
    <w:tmpl w:val="4D4E3E1E"/>
    <w:lvl w:ilvl="0" w:tplc="94981B78">
      <w:start w:val="1"/>
      <w:numFmt w:val="lowerRoman"/>
      <w:lvlText w:val="%1."/>
      <w:lvlJc w:val="left"/>
      <w:pPr>
        <w:ind w:left="2160" w:hanging="720"/>
      </w:pPr>
      <w:rPr>
        <w:rFonts w:hint="default"/>
      </w:rPr>
    </w:lvl>
    <w:lvl w:ilvl="1" w:tplc="98B4D43E">
      <w:numFmt w:val="bullet"/>
      <w:lvlText w:val="•"/>
      <w:lvlJc w:val="left"/>
      <w:pPr>
        <w:ind w:left="3600" w:hanging="1440"/>
      </w:pPr>
      <w:rPr>
        <w:rFonts w:ascii="Times New Roman" w:eastAsiaTheme="minorHAnsi" w:hAnsi="Times New Roman" w:cs="Times New Roman" w:hint="default"/>
        <w:b w:val="0"/>
        <w:i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AD44DB7"/>
    <w:multiLevelType w:val="hybridMultilevel"/>
    <w:tmpl w:val="35A41E9C"/>
    <w:lvl w:ilvl="0" w:tplc="A69AE6F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1955B6C"/>
    <w:multiLevelType w:val="hybridMultilevel"/>
    <w:tmpl w:val="030E86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5984DB4"/>
    <w:multiLevelType w:val="hybridMultilevel"/>
    <w:tmpl w:val="73FE582A"/>
    <w:lvl w:ilvl="0" w:tplc="B34621D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6092B96"/>
    <w:multiLevelType w:val="hybridMultilevel"/>
    <w:tmpl w:val="C3FAC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B747D2"/>
    <w:multiLevelType w:val="hybridMultilevel"/>
    <w:tmpl w:val="DEC6CF6E"/>
    <w:lvl w:ilvl="0" w:tplc="462EAE5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64253828"/>
    <w:multiLevelType w:val="hybridMultilevel"/>
    <w:tmpl w:val="42E2497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6F7F1928"/>
    <w:multiLevelType w:val="hybridMultilevel"/>
    <w:tmpl w:val="B2249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16040D"/>
    <w:multiLevelType w:val="hybridMultilevel"/>
    <w:tmpl w:val="4C98DF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8286956"/>
    <w:multiLevelType w:val="hybridMultilevel"/>
    <w:tmpl w:val="BA004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3015CC"/>
    <w:multiLevelType w:val="hybridMultilevel"/>
    <w:tmpl w:val="DEBEB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3"/>
  </w:num>
  <w:num w:numId="4">
    <w:abstractNumId w:val="5"/>
  </w:num>
  <w:num w:numId="5">
    <w:abstractNumId w:val="10"/>
  </w:num>
  <w:num w:numId="6">
    <w:abstractNumId w:val="11"/>
  </w:num>
  <w:num w:numId="7">
    <w:abstractNumId w:val="1"/>
  </w:num>
  <w:num w:numId="8">
    <w:abstractNumId w:val="9"/>
  </w:num>
  <w:num w:numId="9">
    <w:abstractNumId w:val="12"/>
  </w:num>
  <w:num w:numId="10">
    <w:abstractNumId w:val="8"/>
  </w:num>
  <w:num w:numId="11">
    <w:abstractNumId w:val="3"/>
  </w:num>
  <w:num w:numId="12">
    <w:abstractNumId w:val="4"/>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5D0"/>
    <w:rsid w:val="000F295F"/>
    <w:rsid w:val="001363B3"/>
    <w:rsid w:val="00151803"/>
    <w:rsid w:val="00171DE8"/>
    <w:rsid w:val="00471A97"/>
    <w:rsid w:val="00486762"/>
    <w:rsid w:val="004E635B"/>
    <w:rsid w:val="006845D0"/>
    <w:rsid w:val="006A778F"/>
    <w:rsid w:val="006C6340"/>
    <w:rsid w:val="008C48AE"/>
    <w:rsid w:val="008D3DE7"/>
    <w:rsid w:val="009156ED"/>
    <w:rsid w:val="0098311E"/>
    <w:rsid w:val="009909A9"/>
    <w:rsid w:val="00A31E13"/>
    <w:rsid w:val="00A7539F"/>
    <w:rsid w:val="00B305A4"/>
    <w:rsid w:val="00B77B5C"/>
    <w:rsid w:val="00BB4A0F"/>
    <w:rsid w:val="00BD3F90"/>
    <w:rsid w:val="00BD5774"/>
    <w:rsid w:val="00CD4AC7"/>
    <w:rsid w:val="00D358E5"/>
    <w:rsid w:val="00D60008"/>
    <w:rsid w:val="00DC33A0"/>
    <w:rsid w:val="00F160D7"/>
    <w:rsid w:val="00F23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before="120" w:after="120" w:line="360" w:lineRule="auto"/>
        <w:ind w:right="15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DE8"/>
    <w:pPr>
      <w:ind w:left="720"/>
      <w:contextualSpacing/>
    </w:pPr>
  </w:style>
  <w:style w:type="paragraph" w:styleId="BalloonText">
    <w:name w:val="Balloon Text"/>
    <w:basedOn w:val="Normal"/>
    <w:link w:val="BalloonTextChar"/>
    <w:uiPriority w:val="99"/>
    <w:semiHidden/>
    <w:unhideWhenUsed/>
    <w:rsid w:val="00471A9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before="120" w:after="120" w:line="360" w:lineRule="auto"/>
        <w:ind w:right="15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DE8"/>
    <w:pPr>
      <w:ind w:left="720"/>
      <w:contextualSpacing/>
    </w:pPr>
  </w:style>
  <w:style w:type="paragraph" w:styleId="BalloonText">
    <w:name w:val="Balloon Text"/>
    <w:basedOn w:val="Normal"/>
    <w:link w:val="BalloonTextChar"/>
    <w:uiPriority w:val="99"/>
    <w:semiHidden/>
    <w:unhideWhenUsed/>
    <w:rsid w:val="00471A9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63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1069</Words>
  <Characters>6097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Bracke, Deborah</dc:creator>
  <cp:lastModifiedBy>Leslie DuPree</cp:lastModifiedBy>
  <cp:revision>2</cp:revision>
  <cp:lastPrinted>2016-02-18T14:33:00Z</cp:lastPrinted>
  <dcterms:created xsi:type="dcterms:W3CDTF">2016-02-18T21:03:00Z</dcterms:created>
  <dcterms:modified xsi:type="dcterms:W3CDTF">2016-02-18T21:03:00Z</dcterms:modified>
</cp:coreProperties>
</file>