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BD" w:rsidRPr="00FF10BC" w:rsidRDefault="00000CBD" w:rsidP="00AB730B">
      <w:pPr>
        <w:rPr>
          <w:rFonts w:cstheme="minorHAnsi"/>
          <w:b/>
        </w:rPr>
      </w:pPr>
      <w:bookmarkStart w:id="0" w:name="_GoBack"/>
      <w:bookmarkEnd w:id="0"/>
    </w:p>
    <w:p w:rsidR="00000CBD" w:rsidRPr="00FF10BC" w:rsidRDefault="002D61E4" w:rsidP="00000CBD">
      <w:pPr>
        <w:ind w:left="0"/>
        <w:rPr>
          <w:rFonts w:cstheme="minorHAnsi"/>
          <w:b/>
        </w:rPr>
      </w:pPr>
      <w:r w:rsidRPr="00FF10BC">
        <w:rPr>
          <w:rFonts w:cstheme="minorHAnsi"/>
          <w:b/>
        </w:rPr>
        <w:t>PROPOSED AGES REDUCTION OVERVIEW</w:t>
      </w:r>
    </w:p>
    <w:p w:rsidR="00000CBD" w:rsidRPr="00FF10BC" w:rsidRDefault="00000CBD" w:rsidP="00000CBD">
      <w:pPr>
        <w:ind w:left="0"/>
        <w:rPr>
          <w:rFonts w:cstheme="minorHAnsi"/>
          <w:b/>
        </w:rPr>
      </w:pPr>
    </w:p>
    <w:p w:rsidR="00000CBD" w:rsidRPr="00FF10BC" w:rsidRDefault="00000CBD" w:rsidP="00000CBD">
      <w:pPr>
        <w:ind w:left="0"/>
        <w:rPr>
          <w:rFonts w:cstheme="minorHAnsi"/>
        </w:rPr>
      </w:pPr>
      <w:r w:rsidRPr="00FF10BC">
        <w:rPr>
          <w:rFonts w:cstheme="minorHAnsi"/>
        </w:rPr>
        <w:t xml:space="preserve">Since the General Education Committee began our discussions about course reduction two years ago, we have been committed to keeping what has been successful about AGES while simultaneously reducing its </w:t>
      </w:r>
      <w:r w:rsidR="00317C34" w:rsidRPr="00FF10BC">
        <w:rPr>
          <w:rFonts w:cstheme="minorHAnsi"/>
        </w:rPr>
        <w:t xml:space="preserve">overall </w:t>
      </w:r>
      <w:r w:rsidRPr="00FF10BC">
        <w:rPr>
          <w:rFonts w:cstheme="minorHAnsi"/>
        </w:rPr>
        <w:t xml:space="preserve">footprint in the curriculum and addressing some of the significant staffing challenges we continue to face. Based on two surveys of the faculty (2009 and 2011) as well as several Friday Conversations regarding the future of LSFY </w:t>
      </w:r>
      <w:r w:rsidR="00317C34" w:rsidRPr="00FF10BC">
        <w:rPr>
          <w:rFonts w:cstheme="minorHAnsi"/>
        </w:rPr>
        <w:t xml:space="preserve">and AGES, we know that the </w:t>
      </w:r>
      <w:r w:rsidRPr="00FF10BC">
        <w:rPr>
          <w:rFonts w:cstheme="minorHAnsi"/>
        </w:rPr>
        <w:t xml:space="preserve">majority of </w:t>
      </w:r>
      <w:proofErr w:type="gramStart"/>
      <w:r w:rsidRPr="00FF10BC">
        <w:rPr>
          <w:rFonts w:cstheme="minorHAnsi"/>
        </w:rPr>
        <w:t>faculty continue</w:t>
      </w:r>
      <w:proofErr w:type="gramEnd"/>
      <w:r w:rsidRPr="00FF10BC">
        <w:rPr>
          <w:rFonts w:cstheme="minorHAnsi"/>
        </w:rPr>
        <w:t xml:space="preserve"> to see value in our general education program, and continue to support the student learning outcomes we developed in “Draft 8,” one of our founding AGES documents.</w:t>
      </w:r>
    </w:p>
    <w:p w:rsidR="00000CBD" w:rsidRPr="00FF10BC" w:rsidRDefault="00000CBD" w:rsidP="00000CBD">
      <w:pPr>
        <w:ind w:left="0"/>
        <w:rPr>
          <w:rFonts w:cstheme="minorHAnsi"/>
        </w:rPr>
      </w:pPr>
    </w:p>
    <w:p w:rsidR="00000CBD" w:rsidRPr="00FF10BC" w:rsidRDefault="00000CBD" w:rsidP="00000CBD">
      <w:pPr>
        <w:ind w:left="0"/>
        <w:rPr>
          <w:rFonts w:cstheme="minorHAnsi"/>
        </w:rPr>
      </w:pPr>
      <w:r w:rsidRPr="00FF10BC">
        <w:rPr>
          <w:rFonts w:cstheme="minorHAnsi"/>
        </w:rPr>
        <w:t>Below we have sketched out the parameters for a restructured AGES curriculum, and have included a brief rationale for each of our decisions. Believe us when we say we considered many, many options – especially in talking about LSFY and LCs, the two biggest “investments” from departments in AGES. We are happy to provide more detail about those discussions as needed.</w:t>
      </w:r>
    </w:p>
    <w:p w:rsidR="00000CBD" w:rsidRPr="00FF10BC" w:rsidRDefault="00000CBD" w:rsidP="00000CBD">
      <w:pPr>
        <w:ind w:left="0"/>
        <w:rPr>
          <w:rFonts w:cstheme="minorHAnsi"/>
        </w:rPr>
      </w:pPr>
    </w:p>
    <w:p w:rsidR="00000CBD" w:rsidRPr="00FF10BC" w:rsidRDefault="00000CBD" w:rsidP="00AB730B">
      <w:pPr>
        <w:rPr>
          <w:rFonts w:cstheme="minorHAnsi"/>
          <w:b/>
        </w:rPr>
      </w:pPr>
    </w:p>
    <w:p w:rsidR="00AB730B" w:rsidRPr="00FF10BC" w:rsidRDefault="00AB730B" w:rsidP="00AB730B">
      <w:pPr>
        <w:rPr>
          <w:rFonts w:cstheme="minorHAnsi"/>
          <w:b/>
        </w:rPr>
      </w:pPr>
      <w:r w:rsidRPr="00FF10BC">
        <w:rPr>
          <w:rFonts w:cstheme="minorHAnsi"/>
          <w:b/>
        </w:rPr>
        <w:t xml:space="preserve">Course tally in current </w:t>
      </w:r>
      <w:r w:rsidR="00B64109" w:rsidRPr="00FF10BC">
        <w:rPr>
          <w:rFonts w:cstheme="minorHAnsi"/>
          <w:b/>
        </w:rPr>
        <w:t xml:space="preserve">trimester </w:t>
      </w:r>
      <w:r w:rsidRPr="00FF10BC">
        <w:rPr>
          <w:rFonts w:cstheme="minorHAnsi"/>
          <w:b/>
        </w:rPr>
        <w:t>system</w:t>
      </w:r>
    </w:p>
    <w:p w:rsidR="00AB730B" w:rsidRPr="00FF10BC" w:rsidRDefault="00AB730B" w:rsidP="00AB730B">
      <w:pPr>
        <w:rPr>
          <w:rFonts w:cstheme="minorHAnsi"/>
        </w:rPr>
      </w:pPr>
    </w:p>
    <w:tbl>
      <w:tblPr>
        <w:tblStyle w:val="TableGrid"/>
        <w:tblW w:w="0" w:type="auto"/>
        <w:tblLook w:val="04A0" w:firstRow="1" w:lastRow="0" w:firstColumn="1" w:lastColumn="0" w:noHBand="0" w:noVBand="1"/>
      </w:tblPr>
      <w:tblGrid>
        <w:gridCol w:w="6588"/>
        <w:gridCol w:w="1890"/>
      </w:tblGrid>
      <w:tr w:rsidR="00AB730B" w:rsidRPr="00FF10BC" w:rsidTr="00B64109">
        <w:tc>
          <w:tcPr>
            <w:tcW w:w="6588" w:type="dxa"/>
          </w:tcPr>
          <w:p w:rsidR="00AB730B" w:rsidRPr="00FF10BC" w:rsidRDefault="00AB730B" w:rsidP="00056896">
            <w:pPr>
              <w:rPr>
                <w:rFonts w:cstheme="minorHAnsi"/>
              </w:rPr>
            </w:pPr>
            <w:r w:rsidRPr="00FF10BC">
              <w:rPr>
                <w:rFonts w:cstheme="minorHAnsi"/>
              </w:rPr>
              <w:t>LSFY 101, 102, 103</w:t>
            </w:r>
          </w:p>
        </w:tc>
        <w:tc>
          <w:tcPr>
            <w:tcW w:w="1890" w:type="dxa"/>
          </w:tcPr>
          <w:p w:rsidR="00AB730B" w:rsidRPr="00FF10BC" w:rsidRDefault="00AB730B" w:rsidP="00AB730B">
            <w:pPr>
              <w:jc w:val="right"/>
              <w:rPr>
                <w:rFonts w:cstheme="minorHAnsi"/>
              </w:rPr>
            </w:pPr>
            <w:r w:rsidRPr="00FF10BC">
              <w:rPr>
                <w:rFonts w:cstheme="minorHAnsi"/>
              </w:rPr>
              <w:t>3</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Christian Traditions, with LP</w:t>
            </w:r>
          </w:p>
        </w:tc>
        <w:tc>
          <w:tcPr>
            <w:tcW w:w="1890" w:type="dxa"/>
          </w:tcPr>
          <w:p w:rsidR="00AB730B" w:rsidRPr="00FF10BC" w:rsidRDefault="00AB730B" w:rsidP="00AB730B">
            <w:pPr>
              <w:jc w:val="right"/>
              <w:rPr>
                <w:rFonts w:cstheme="minorHAnsi"/>
              </w:rPr>
            </w:pPr>
            <w:r w:rsidRPr="00FF10BC">
              <w:rPr>
                <w:rFonts w:cstheme="minorHAnsi"/>
              </w:rPr>
              <w:t>1</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G, D, Q, and I</w:t>
            </w:r>
          </w:p>
        </w:tc>
        <w:tc>
          <w:tcPr>
            <w:tcW w:w="1890" w:type="dxa"/>
          </w:tcPr>
          <w:p w:rsidR="00AB730B" w:rsidRPr="00FF10BC" w:rsidRDefault="00AB730B" w:rsidP="00AB730B">
            <w:pPr>
              <w:jc w:val="right"/>
              <w:rPr>
                <w:rFonts w:cstheme="minorHAnsi"/>
              </w:rPr>
            </w:pPr>
            <w:r w:rsidRPr="00FF10BC">
              <w:rPr>
                <w:rFonts w:cstheme="minorHAnsi"/>
              </w:rPr>
              <w:t>4</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Learnin</w:t>
            </w:r>
            <w:r w:rsidR="006F6B08" w:rsidRPr="00FF10BC">
              <w:rPr>
                <w:rFonts w:cstheme="minorHAnsi"/>
              </w:rPr>
              <w:t xml:space="preserve">g Perspectives (LPs) (counting </w:t>
            </w:r>
            <w:r w:rsidR="00B64109" w:rsidRPr="00FF10BC">
              <w:rPr>
                <w:rFonts w:cstheme="minorHAnsi"/>
              </w:rPr>
              <w:t>Christian Traditions</w:t>
            </w:r>
            <w:r w:rsidR="006F6B08" w:rsidRPr="00FF10BC">
              <w:rPr>
                <w:rFonts w:cstheme="minorHAnsi"/>
              </w:rPr>
              <w:t>)</w:t>
            </w:r>
          </w:p>
        </w:tc>
        <w:tc>
          <w:tcPr>
            <w:tcW w:w="1890" w:type="dxa"/>
          </w:tcPr>
          <w:p w:rsidR="00AB730B" w:rsidRPr="00FF10BC" w:rsidRDefault="00DB2032" w:rsidP="00AB730B">
            <w:pPr>
              <w:jc w:val="right"/>
              <w:rPr>
                <w:rFonts w:cstheme="minorHAnsi"/>
              </w:rPr>
            </w:pPr>
            <w:r w:rsidRPr="00FF10BC">
              <w:rPr>
                <w:rFonts w:cstheme="minorHAnsi"/>
              </w:rPr>
              <w:t>9</w:t>
            </w:r>
            <w:r w:rsidR="00327B3B" w:rsidRPr="00FF10BC">
              <w:rPr>
                <w:rFonts w:cstheme="minorHAnsi"/>
              </w:rPr>
              <w:t xml:space="preserve"> (8)</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Learning Community</w:t>
            </w:r>
          </w:p>
        </w:tc>
        <w:tc>
          <w:tcPr>
            <w:tcW w:w="1890" w:type="dxa"/>
          </w:tcPr>
          <w:p w:rsidR="00AB730B" w:rsidRPr="00FF10BC" w:rsidRDefault="00AB730B" w:rsidP="00AB730B">
            <w:pPr>
              <w:jc w:val="right"/>
              <w:rPr>
                <w:rFonts w:cstheme="minorHAnsi"/>
              </w:rPr>
            </w:pPr>
            <w:r w:rsidRPr="00FF10BC">
              <w:rPr>
                <w:rFonts w:cstheme="minorHAnsi"/>
              </w:rPr>
              <w:t>2</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Foreign language</w:t>
            </w:r>
          </w:p>
        </w:tc>
        <w:tc>
          <w:tcPr>
            <w:tcW w:w="1890" w:type="dxa"/>
          </w:tcPr>
          <w:p w:rsidR="00AB730B" w:rsidRPr="00FF10BC" w:rsidRDefault="00AB730B" w:rsidP="00AB730B">
            <w:pPr>
              <w:jc w:val="right"/>
              <w:rPr>
                <w:rFonts w:cstheme="minorHAnsi"/>
              </w:rPr>
            </w:pPr>
            <w:r w:rsidRPr="00FF10BC">
              <w:rPr>
                <w:rFonts w:cstheme="minorHAnsi"/>
              </w:rPr>
              <w:t>3</w:t>
            </w:r>
          </w:p>
        </w:tc>
      </w:tr>
      <w:tr w:rsidR="00AB730B" w:rsidRPr="00FF10BC" w:rsidTr="00B64109">
        <w:tc>
          <w:tcPr>
            <w:tcW w:w="6588" w:type="dxa"/>
          </w:tcPr>
          <w:p w:rsidR="00AB730B" w:rsidRPr="00FF10BC" w:rsidRDefault="00AB730B" w:rsidP="00056896">
            <w:pPr>
              <w:rPr>
                <w:rFonts w:cstheme="minorHAnsi"/>
                <w:b/>
                <w:u w:val="single"/>
              </w:rPr>
            </w:pPr>
          </w:p>
        </w:tc>
        <w:tc>
          <w:tcPr>
            <w:tcW w:w="1890" w:type="dxa"/>
          </w:tcPr>
          <w:p w:rsidR="00AB730B" w:rsidRPr="00FF10BC" w:rsidRDefault="00AB730B" w:rsidP="00AB730B">
            <w:pPr>
              <w:jc w:val="right"/>
              <w:rPr>
                <w:rFonts w:cstheme="minorHAnsi"/>
                <w:b/>
              </w:rPr>
            </w:pPr>
          </w:p>
        </w:tc>
      </w:tr>
      <w:tr w:rsidR="00AB730B" w:rsidRPr="00FF10BC" w:rsidTr="00B64109">
        <w:tc>
          <w:tcPr>
            <w:tcW w:w="6588" w:type="dxa"/>
          </w:tcPr>
          <w:p w:rsidR="00AB730B" w:rsidRPr="00FF10BC" w:rsidRDefault="00AB730B" w:rsidP="00056896">
            <w:pPr>
              <w:rPr>
                <w:rFonts w:cstheme="minorHAnsi"/>
                <w:b/>
              </w:rPr>
            </w:pPr>
            <w:r w:rsidRPr="00FF10BC">
              <w:rPr>
                <w:rFonts w:cstheme="minorHAnsi"/>
                <w:b/>
                <w:u w:val="single"/>
              </w:rPr>
              <w:t>Maximum</w:t>
            </w:r>
            <w:r w:rsidRPr="00FF10BC">
              <w:rPr>
                <w:rFonts w:cstheme="minorHAnsi"/>
                <w:b/>
              </w:rPr>
              <w:t xml:space="preserve"> course claim on BA</w:t>
            </w:r>
          </w:p>
        </w:tc>
        <w:tc>
          <w:tcPr>
            <w:tcW w:w="1890" w:type="dxa"/>
          </w:tcPr>
          <w:p w:rsidR="00AB730B" w:rsidRPr="00FF10BC" w:rsidRDefault="00AB730B" w:rsidP="00AB730B">
            <w:pPr>
              <w:jc w:val="right"/>
              <w:rPr>
                <w:rFonts w:cstheme="minorHAnsi"/>
                <w:b/>
              </w:rPr>
            </w:pPr>
            <w:r w:rsidRPr="00FF10BC">
              <w:rPr>
                <w:rFonts w:cstheme="minorHAnsi"/>
                <w:b/>
              </w:rPr>
              <w:t>21 (51% of BA)</w:t>
            </w:r>
          </w:p>
        </w:tc>
      </w:tr>
      <w:tr w:rsidR="00AB730B" w:rsidRPr="00FF10BC" w:rsidTr="00B64109">
        <w:tc>
          <w:tcPr>
            <w:tcW w:w="6588" w:type="dxa"/>
          </w:tcPr>
          <w:p w:rsidR="00AB730B" w:rsidRPr="00FF10BC" w:rsidRDefault="00AB730B" w:rsidP="00056896">
            <w:pPr>
              <w:rPr>
                <w:rFonts w:cstheme="minorHAnsi"/>
                <w:b/>
                <w:u w:val="single"/>
              </w:rPr>
            </w:pPr>
            <w:r w:rsidRPr="00FF10BC">
              <w:rPr>
                <w:rFonts w:cstheme="minorHAnsi"/>
                <w:b/>
                <w:u w:val="single"/>
              </w:rPr>
              <w:t>Likely</w:t>
            </w:r>
            <w:r w:rsidRPr="00FF10BC">
              <w:rPr>
                <w:rFonts w:cstheme="minorHAnsi"/>
                <w:b/>
              </w:rPr>
              <w:t xml:space="preserve"> course claim on BA</w:t>
            </w:r>
          </w:p>
        </w:tc>
        <w:tc>
          <w:tcPr>
            <w:tcW w:w="1890" w:type="dxa"/>
          </w:tcPr>
          <w:p w:rsidR="00AB730B" w:rsidRPr="00FF10BC" w:rsidRDefault="00AB730B" w:rsidP="00AB730B">
            <w:pPr>
              <w:jc w:val="right"/>
              <w:rPr>
                <w:rFonts w:cstheme="minorHAnsi"/>
                <w:b/>
              </w:rPr>
            </w:pPr>
            <w:r w:rsidRPr="00FF10BC">
              <w:rPr>
                <w:rFonts w:cstheme="minorHAnsi"/>
                <w:b/>
              </w:rPr>
              <w:t>18 (44% of BA)</w:t>
            </w:r>
          </w:p>
        </w:tc>
      </w:tr>
    </w:tbl>
    <w:p w:rsidR="00AB730B" w:rsidRPr="00FF10BC" w:rsidRDefault="00AB730B" w:rsidP="00AB730B">
      <w:pPr>
        <w:rPr>
          <w:rFonts w:cstheme="minorHAnsi"/>
        </w:rPr>
      </w:pPr>
    </w:p>
    <w:p w:rsidR="00AB730B" w:rsidRPr="00FF10BC" w:rsidRDefault="00AB730B" w:rsidP="00AB730B">
      <w:pPr>
        <w:rPr>
          <w:rFonts w:cstheme="minorHAnsi"/>
        </w:rPr>
      </w:pPr>
    </w:p>
    <w:p w:rsidR="00AB730B" w:rsidRPr="00FF10BC" w:rsidRDefault="00AB730B" w:rsidP="00AB730B">
      <w:pPr>
        <w:rPr>
          <w:rFonts w:cstheme="minorHAnsi"/>
          <w:b/>
        </w:rPr>
      </w:pPr>
      <w:r w:rsidRPr="00FF10BC">
        <w:rPr>
          <w:rFonts w:cstheme="minorHAnsi"/>
          <w:b/>
        </w:rPr>
        <w:t xml:space="preserve">Course tally in proposed </w:t>
      </w:r>
      <w:r w:rsidR="00B64109" w:rsidRPr="00FF10BC">
        <w:rPr>
          <w:rFonts w:cstheme="minorHAnsi"/>
          <w:b/>
        </w:rPr>
        <w:t xml:space="preserve">semester with J term (4-1-4) </w:t>
      </w:r>
      <w:r w:rsidRPr="00FF10BC">
        <w:rPr>
          <w:rFonts w:cstheme="minorHAnsi"/>
          <w:b/>
        </w:rPr>
        <w:t>system</w:t>
      </w:r>
    </w:p>
    <w:p w:rsidR="00AB730B" w:rsidRPr="00FF10BC" w:rsidRDefault="00AB730B" w:rsidP="00AB730B">
      <w:pPr>
        <w:rPr>
          <w:rFonts w:cstheme="minorHAnsi"/>
        </w:rPr>
      </w:pPr>
    </w:p>
    <w:tbl>
      <w:tblPr>
        <w:tblStyle w:val="TableGrid"/>
        <w:tblW w:w="0" w:type="auto"/>
        <w:tblLook w:val="04A0" w:firstRow="1" w:lastRow="0" w:firstColumn="1" w:lastColumn="0" w:noHBand="0" w:noVBand="1"/>
      </w:tblPr>
      <w:tblGrid>
        <w:gridCol w:w="6588"/>
        <w:gridCol w:w="1890"/>
      </w:tblGrid>
      <w:tr w:rsidR="00AB730B" w:rsidRPr="00FF10BC" w:rsidTr="00B64109">
        <w:tc>
          <w:tcPr>
            <w:tcW w:w="6588" w:type="dxa"/>
          </w:tcPr>
          <w:p w:rsidR="00AB730B" w:rsidRPr="00FF10BC" w:rsidRDefault="00AB730B" w:rsidP="00056896">
            <w:pPr>
              <w:rPr>
                <w:rFonts w:cstheme="minorHAnsi"/>
              </w:rPr>
            </w:pPr>
            <w:r w:rsidRPr="00FF10BC">
              <w:rPr>
                <w:rFonts w:cstheme="minorHAnsi"/>
              </w:rPr>
              <w:t>LSFY 101, 102</w:t>
            </w:r>
          </w:p>
        </w:tc>
        <w:tc>
          <w:tcPr>
            <w:tcW w:w="1890" w:type="dxa"/>
          </w:tcPr>
          <w:p w:rsidR="00AB730B" w:rsidRPr="00FF10BC" w:rsidRDefault="00AB730B" w:rsidP="00AB730B">
            <w:pPr>
              <w:jc w:val="right"/>
              <w:rPr>
                <w:rFonts w:cstheme="minorHAnsi"/>
              </w:rPr>
            </w:pPr>
            <w:r w:rsidRPr="00FF10BC">
              <w:rPr>
                <w:rFonts w:cstheme="minorHAnsi"/>
              </w:rPr>
              <w:t>2</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Christian Traditions, with LP</w:t>
            </w:r>
          </w:p>
        </w:tc>
        <w:tc>
          <w:tcPr>
            <w:tcW w:w="1890" w:type="dxa"/>
          </w:tcPr>
          <w:p w:rsidR="00AB730B" w:rsidRPr="00FF10BC" w:rsidRDefault="00AB730B" w:rsidP="00AB730B">
            <w:pPr>
              <w:jc w:val="right"/>
              <w:rPr>
                <w:rFonts w:cstheme="minorHAnsi"/>
              </w:rPr>
            </w:pPr>
            <w:r w:rsidRPr="00FF10BC">
              <w:rPr>
                <w:rFonts w:cstheme="minorHAnsi"/>
              </w:rPr>
              <w:t>1</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G, D, and Q</w:t>
            </w:r>
          </w:p>
        </w:tc>
        <w:tc>
          <w:tcPr>
            <w:tcW w:w="1890" w:type="dxa"/>
          </w:tcPr>
          <w:p w:rsidR="00AB730B" w:rsidRPr="00FF10BC" w:rsidRDefault="00AB730B" w:rsidP="00AB730B">
            <w:pPr>
              <w:jc w:val="right"/>
              <w:rPr>
                <w:rFonts w:cstheme="minorHAnsi"/>
              </w:rPr>
            </w:pPr>
            <w:r w:rsidRPr="00FF10BC">
              <w:rPr>
                <w:rFonts w:cstheme="minorHAnsi"/>
              </w:rPr>
              <w:t>3</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Learnin</w:t>
            </w:r>
            <w:r w:rsidR="00B64109" w:rsidRPr="00FF10BC">
              <w:rPr>
                <w:rFonts w:cstheme="minorHAnsi"/>
              </w:rPr>
              <w:t xml:space="preserve">g </w:t>
            </w:r>
            <w:r w:rsidR="006F6B08" w:rsidRPr="00FF10BC">
              <w:rPr>
                <w:rFonts w:cstheme="minorHAnsi"/>
              </w:rPr>
              <w:t>Perspectives (LPs) (</w:t>
            </w:r>
            <w:r w:rsidR="00DB2032" w:rsidRPr="00FF10BC">
              <w:rPr>
                <w:rFonts w:cstheme="minorHAnsi"/>
              </w:rPr>
              <w:t>counting</w:t>
            </w:r>
            <w:r w:rsidR="00B64109" w:rsidRPr="00FF10BC">
              <w:rPr>
                <w:rFonts w:cstheme="minorHAnsi"/>
              </w:rPr>
              <w:t xml:space="preserve"> Christian Traditions</w:t>
            </w:r>
            <w:r w:rsidR="006F6B08" w:rsidRPr="00FF10BC">
              <w:rPr>
                <w:rFonts w:cstheme="minorHAnsi"/>
              </w:rPr>
              <w:t>)</w:t>
            </w:r>
          </w:p>
        </w:tc>
        <w:tc>
          <w:tcPr>
            <w:tcW w:w="1890" w:type="dxa"/>
          </w:tcPr>
          <w:p w:rsidR="00AB730B" w:rsidRPr="00FF10BC" w:rsidRDefault="00DB2032" w:rsidP="00AB730B">
            <w:pPr>
              <w:jc w:val="right"/>
              <w:rPr>
                <w:rFonts w:cstheme="minorHAnsi"/>
              </w:rPr>
            </w:pPr>
            <w:r w:rsidRPr="00FF10BC">
              <w:rPr>
                <w:rFonts w:cstheme="minorHAnsi"/>
              </w:rPr>
              <w:t>6</w:t>
            </w:r>
            <w:r w:rsidR="00327B3B" w:rsidRPr="00FF10BC">
              <w:rPr>
                <w:rFonts w:cstheme="minorHAnsi"/>
              </w:rPr>
              <w:t xml:space="preserve"> (5)</w:t>
            </w:r>
          </w:p>
        </w:tc>
      </w:tr>
      <w:tr w:rsidR="00AB730B" w:rsidRPr="00FF10BC" w:rsidTr="00B64109">
        <w:tc>
          <w:tcPr>
            <w:tcW w:w="6588" w:type="dxa"/>
          </w:tcPr>
          <w:p w:rsidR="00AB730B" w:rsidRPr="00FF10BC" w:rsidRDefault="00236E85" w:rsidP="00056896">
            <w:pPr>
              <w:rPr>
                <w:rFonts w:cstheme="minorHAnsi"/>
              </w:rPr>
            </w:pPr>
            <w:r w:rsidRPr="00FF10BC">
              <w:rPr>
                <w:rFonts w:cstheme="minorHAnsi"/>
              </w:rPr>
              <w:t>Learning Community</w:t>
            </w:r>
          </w:p>
        </w:tc>
        <w:tc>
          <w:tcPr>
            <w:tcW w:w="1890" w:type="dxa"/>
          </w:tcPr>
          <w:p w:rsidR="00AB730B" w:rsidRPr="00FF10BC" w:rsidRDefault="00236E85" w:rsidP="00AB730B">
            <w:pPr>
              <w:jc w:val="right"/>
              <w:rPr>
                <w:rFonts w:cstheme="minorHAnsi"/>
              </w:rPr>
            </w:pPr>
            <w:r w:rsidRPr="00FF10BC">
              <w:rPr>
                <w:rFonts w:cstheme="minorHAnsi"/>
              </w:rPr>
              <w:t>None</w:t>
            </w:r>
          </w:p>
        </w:tc>
      </w:tr>
      <w:tr w:rsidR="00AB730B" w:rsidRPr="00FF10BC" w:rsidTr="00B64109">
        <w:tc>
          <w:tcPr>
            <w:tcW w:w="6588" w:type="dxa"/>
          </w:tcPr>
          <w:p w:rsidR="00AB730B" w:rsidRPr="00FF10BC" w:rsidRDefault="00AB730B" w:rsidP="00056896">
            <w:pPr>
              <w:rPr>
                <w:rFonts w:cstheme="minorHAnsi"/>
              </w:rPr>
            </w:pPr>
            <w:r w:rsidRPr="00FF10BC">
              <w:rPr>
                <w:rFonts w:cstheme="minorHAnsi"/>
              </w:rPr>
              <w:t>Foreign language</w:t>
            </w:r>
          </w:p>
        </w:tc>
        <w:tc>
          <w:tcPr>
            <w:tcW w:w="1890" w:type="dxa"/>
          </w:tcPr>
          <w:p w:rsidR="00AB730B" w:rsidRPr="00FF10BC" w:rsidRDefault="00AB730B" w:rsidP="00AB730B">
            <w:pPr>
              <w:jc w:val="right"/>
              <w:rPr>
                <w:rFonts w:cstheme="minorHAnsi"/>
              </w:rPr>
            </w:pPr>
            <w:r w:rsidRPr="00FF10BC">
              <w:rPr>
                <w:rFonts w:cstheme="minorHAnsi"/>
              </w:rPr>
              <w:t>2</w:t>
            </w:r>
          </w:p>
        </w:tc>
      </w:tr>
      <w:tr w:rsidR="00AB730B" w:rsidRPr="00FF10BC" w:rsidTr="00B64109">
        <w:tc>
          <w:tcPr>
            <w:tcW w:w="6588" w:type="dxa"/>
          </w:tcPr>
          <w:p w:rsidR="00AB730B" w:rsidRPr="00FF10BC" w:rsidRDefault="00AB730B" w:rsidP="00056896">
            <w:pPr>
              <w:rPr>
                <w:rFonts w:cstheme="minorHAnsi"/>
              </w:rPr>
            </w:pPr>
          </w:p>
        </w:tc>
        <w:tc>
          <w:tcPr>
            <w:tcW w:w="1890" w:type="dxa"/>
          </w:tcPr>
          <w:p w:rsidR="00AB730B" w:rsidRPr="00FF10BC" w:rsidRDefault="00AB730B" w:rsidP="00AB730B">
            <w:pPr>
              <w:jc w:val="right"/>
              <w:rPr>
                <w:rFonts w:cstheme="minorHAnsi"/>
              </w:rPr>
            </w:pPr>
          </w:p>
        </w:tc>
      </w:tr>
      <w:tr w:rsidR="00AB730B" w:rsidRPr="00FF10BC" w:rsidTr="00B64109">
        <w:tc>
          <w:tcPr>
            <w:tcW w:w="6588" w:type="dxa"/>
          </w:tcPr>
          <w:p w:rsidR="00AB730B" w:rsidRPr="00FF10BC" w:rsidRDefault="00AB730B" w:rsidP="00056896">
            <w:pPr>
              <w:rPr>
                <w:rFonts w:cstheme="minorHAnsi"/>
                <w:b/>
                <w:highlight w:val="yellow"/>
              </w:rPr>
            </w:pPr>
            <w:r w:rsidRPr="00FF10BC">
              <w:rPr>
                <w:rFonts w:cstheme="minorHAnsi"/>
                <w:b/>
                <w:highlight w:val="yellow"/>
                <w:u w:val="single"/>
              </w:rPr>
              <w:t>Maximum</w:t>
            </w:r>
            <w:r w:rsidRPr="00FF10BC">
              <w:rPr>
                <w:rFonts w:cstheme="minorHAnsi"/>
                <w:b/>
                <w:highlight w:val="yellow"/>
              </w:rPr>
              <w:t xml:space="preserve"> course claim on BA</w:t>
            </w:r>
          </w:p>
        </w:tc>
        <w:tc>
          <w:tcPr>
            <w:tcW w:w="1890" w:type="dxa"/>
          </w:tcPr>
          <w:p w:rsidR="00AB730B" w:rsidRPr="00FF10BC" w:rsidRDefault="00236E85" w:rsidP="00AB730B">
            <w:pPr>
              <w:jc w:val="right"/>
              <w:rPr>
                <w:rFonts w:cstheme="minorHAnsi"/>
                <w:b/>
                <w:highlight w:val="yellow"/>
              </w:rPr>
            </w:pPr>
            <w:r w:rsidRPr="00FF10BC">
              <w:rPr>
                <w:rFonts w:cstheme="minorHAnsi"/>
                <w:b/>
                <w:highlight w:val="yellow"/>
              </w:rPr>
              <w:t>13 (37</w:t>
            </w:r>
            <w:r w:rsidR="00AB730B" w:rsidRPr="00FF10BC">
              <w:rPr>
                <w:rFonts w:cstheme="minorHAnsi"/>
                <w:b/>
                <w:highlight w:val="yellow"/>
              </w:rPr>
              <w:t>% of BA)</w:t>
            </w:r>
          </w:p>
        </w:tc>
      </w:tr>
      <w:tr w:rsidR="00AB730B" w:rsidRPr="00FF10BC" w:rsidTr="00B64109">
        <w:tc>
          <w:tcPr>
            <w:tcW w:w="6588" w:type="dxa"/>
          </w:tcPr>
          <w:p w:rsidR="00AB730B" w:rsidRPr="00FF10BC" w:rsidRDefault="00AB730B" w:rsidP="00056896">
            <w:pPr>
              <w:rPr>
                <w:rFonts w:cstheme="minorHAnsi"/>
                <w:b/>
                <w:highlight w:val="yellow"/>
              </w:rPr>
            </w:pPr>
            <w:r w:rsidRPr="00FF10BC">
              <w:rPr>
                <w:rFonts w:cstheme="minorHAnsi"/>
                <w:b/>
                <w:highlight w:val="yellow"/>
                <w:u w:val="single"/>
              </w:rPr>
              <w:t>Likely</w:t>
            </w:r>
            <w:r w:rsidRPr="00FF10BC">
              <w:rPr>
                <w:rFonts w:cstheme="minorHAnsi"/>
                <w:b/>
                <w:highlight w:val="yellow"/>
              </w:rPr>
              <w:t xml:space="preserve"> course claim on BA</w:t>
            </w:r>
          </w:p>
        </w:tc>
        <w:tc>
          <w:tcPr>
            <w:tcW w:w="1890" w:type="dxa"/>
          </w:tcPr>
          <w:p w:rsidR="00AB730B" w:rsidRPr="00FF10BC" w:rsidRDefault="00236E85" w:rsidP="00AB730B">
            <w:pPr>
              <w:jc w:val="right"/>
              <w:rPr>
                <w:rFonts w:cstheme="minorHAnsi"/>
                <w:b/>
                <w:highlight w:val="yellow"/>
              </w:rPr>
            </w:pPr>
            <w:r w:rsidRPr="00FF10BC">
              <w:rPr>
                <w:rFonts w:cstheme="minorHAnsi"/>
                <w:b/>
                <w:highlight w:val="yellow"/>
              </w:rPr>
              <w:t>11 (31</w:t>
            </w:r>
            <w:r w:rsidR="00AB730B" w:rsidRPr="00FF10BC">
              <w:rPr>
                <w:rFonts w:cstheme="minorHAnsi"/>
                <w:b/>
                <w:highlight w:val="yellow"/>
              </w:rPr>
              <w:t>% of BA)</w:t>
            </w:r>
          </w:p>
        </w:tc>
      </w:tr>
    </w:tbl>
    <w:p w:rsidR="00AB730B" w:rsidRPr="00FF10BC" w:rsidRDefault="00AB730B" w:rsidP="00AB730B">
      <w:pPr>
        <w:rPr>
          <w:rFonts w:cstheme="minorHAnsi"/>
        </w:rPr>
      </w:pPr>
    </w:p>
    <w:p w:rsidR="00AB730B" w:rsidRPr="00FF10BC" w:rsidRDefault="00AB730B" w:rsidP="00AB730B">
      <w:pPr>
        <w:rPr>
          <w:rFonts w:cstheme="minorHAnsi"/>
        </w:rPr>
      </w:pPr>
    </w:p>
    <w:p w:rsidR="009B077A" w:rsidRPr="00FF10BC" w:rsidRDefault="009B077A" w:rsidP="0050086B">
      <w:pPr>
        <w:spacing w:after="240"/>
        <w:ind w:left="0"/>
        <w:rPr>
          <w:rFonts w:eastAsia="Times New Roman" w:cstheme="minorHAnsi"/>
          <w:color w:val="222222"/>
        </w:rPr>
      </w:pPr>
    </w:p>
    <w:p w:rsidR="00AB730B" w:rsidRPr="00FF10BC" w:rsidRDefault="00AB730B" w:rsidP="0050086B">
      <w:pPr>
        <w:spacing w:after="240"/>
        <w:ind w:left="0"/>
        <w:rPr>
          <w:rFonts w:eastAsia="Times New Roman" w:cstheme="minorHAnsi"/>
          <w:color w:val="222222"/>
        </w:rPr>
      </w:pPr>
    </w:p>
    <w:p w:rsidR="00AB730B" w:rsidRPr="00FF10BC" w:rsidRDefault="002D61E4" w:rsidP="0050086B">
      <w:pPr>
        <w:spacing w:after="240"/>
        <w:ind w:left="0"/>
        <w:rPr>
          <w:rFonts w:eastAsia="Times New Roman" w:cstheme="minorHAnsi"/>
          <w:b/>
          <w:color w:val="222222"/>
        </w:rPr>
      </w:pPr>
      <w:r w:rsidRPr="00FF10BC">
        <w:rPr>
          <w:rFonts w:eastAsia="Times New Roman" w:cstheme="minorHAnsi"/>
          <w:b/>
          <w:color w:val="222222"/>
        </w:rPr>
        <w:lastRenderedPageBreak/>
        <w:t>RATIONALE</w:t>
      </w:r>
    </w:p>
    <w:p w:rsidR="0050086B" w:rsidRPr="00FF10BC" w:rsidRDefault="0050086B" w:rsidP="0050086B">
      <w:pPr>
        <w:ind w:left="0"/>
        <w:rPr>
          <w:rFonts w:eastAsia="Times New Roman" w:cstheme="minorHAnsi"/>
          <w:b/>
          <w:bCs/>
          <w:color w:val="222222"/>
          <w:u w:val="single"/>
        </w:rPr>
      </w:pPr>
      <w:r w:rsidRPr="00FF10BC">
        <w:rPr>
          <w:rFonts w:eastAsia="Times New Roman" w:cstheme="minorHAnsi"/>
          <w:b/>
          <w:bCs/>
          <w:color w:val="222222"/>
          <w:u w:val="single"/>
        </w:rPr>
        <w:t>LSFY requirement</w:t>
      </w:r>
    </w:p>
    <w:p w:rsidR="0050086B" w:rsidRPr="00FF10BC" w:rsidRDefault="0050086B" w:rsidP="0050086B">
      <w:pPr>
        <w:ind w:left="0"/>
        <w:rPr>
          <w:rFonts w:eastAsia="Times New Roman" w:cstheme="minorHAnsi"/>
          <w:b/>
          <w:color w:val="222222"/>
          <w:u w:val="single"/>
        </w:rPr>
      </w:pPr>
    </w:p>
    <w:p w:rsidR="0050086B" w:rsidRPr="00FF10BC" w:rsidRDefault="0050086B" w:rsidP="0050086B">
      <w:pPr>
        <w:ind w:left="0"/>
        <w:rPr>
          <w:rFonts w:cstheme="minorHAnsi"/>
        </w:rPr>
      </w:pPr>
      <w:r w:rsidRPr="00FF10BC">
        <w:rPr>
          <w:rFonts w:cstheme="minorHAnsi"/>
        </w:rPr>
        <w:t>The General Education Committee strongly endorses a two-course LSFY program with intentionally designed coherence throughout the year especially concerning academic skills consistent with the College’s learning ou</w:t>
      </w:r>
      <w:r w:rsidR="005A3793" w:rsidRPr="00FF10BC">
        <w:rPr>
          <w:rFonts w:cstheme="minorHAnsi"/>
        </w:rPr>
        <w:t>tcomes.  D</w:t>
      </w:r>
      <w:r w:rsidRPr="00FF10BC">
        <w:rPr>
          <w:rFonts w:cstheme="minorHAnsi"/>
        </w:rPr>
        <w:t xml:space="preserve">uring the eight years of the LSFY program’s existence, it has had institutionally and nationally recognized success in improving student academic skills.  Mark Salisbury recently reported that based on the Collegiate Learning Assessment (CLA), between 2005 and 2009 </w:t>
      </w:r>
      <w:proofErr w:type="spellStart"/>
      <w:r w:rsidRPr="00FF10BC">
        <w:rPr>
          <w:rFonts w:cstheme="minorHAnsi"/>
        </w:rPr>
        <w:t>Augustana</w:t>
      </w:r>
      <w:proofErr w:type="spellEnd"/>
      <w:r w:rsidRPr="00FF10BC">
        <w:rPr>
          <w:rFonts w:cstheme="minorHAnsi"/>
        </w:rPr>
        <w:t xml:space="preserve"> College students improved in critical thinking skills “by 28 percentile points – double the average of students participating in the Academically Adrift study”.  In addition, Ellen Hay recently shared that NSSE has selected </w:t>
      </w:r>
      <w:proofErr w:type="spellStart"/>
      <w:r w:rsidRPr="00FF10BC">
        <w:rPr>
          <w:rFonts w:cstheme="minorHAnsi"/>
        </w:rPr>
        <w:t>Augustana</w:t>
      </w:r>
      <w:proofErr w:type="spellEnd"/>
      <w:r w:rsidRPr="00FF10BC">
        <w:rPr>
          <w:rFonts w:cstheme="minorHAnsi"/>
        </w:rPr>
        <w:t xml:space="preserve"> to participate in a Spencer Foundation study, “an in-depth investigation of select institutions that show a pattern of improved NSSE results over time on several measures of student engagement in educationally-effective practice” specifically because of the positive impact of the LSFY program on student learning.  Finally, for those of us who remember the first years of the program when students seemed disgruntled with LSFY classes, it is reassuring to note that student satisfaction with the program has steadily increased over time.  </w:t>
      </w:r>
    </w:p>
    <w:p w:rsidR="0050086B" w:rsidRDefault="0050086B" w:rsidP="0050086B">
      <w:pPr>
        <w:ind w:left="0"/>
        <w:rPr>
          <w:rFonts w:cstheme="minorHAnsi"/>
        </w:rPr>
      </w:pPr>
    </w:p>
    <w:p w:rsidR="00BE6A19" w:rsidRPr="00BE6A19" w:rsidRDefault="00BE6A19" w:rsidP="0050086B">
      <w:pPr>
        <w:ind w:left="0"/>
        <w:rPr>
          <w:rFonts w:cstheme="minorHAnsi"/>
        </w:rPr>
      </w:pPr>
      <w:r w:rsidRPr="00BE6A19">
        <w:rPr>
          <w:rFonts w:cstheme="minorHAnsi"/>
          <w:color w:val="000000"/>
          <w:shd w:val="clear" w:color="auto" w:fill="FFFFFF"/>
        </w:rPr>
        <w:t>The General Education Committee makes no recommendation at this time for LSFY to be a required part of a J-term, although we have had conversations about (1) using some J-term classes to provide additional skills practice for students who need to or choose to continue improving their academic skills supported by an LSFY skills matrix and (2) investigating models involving first-year seminars.</w:t>
      </w:r>
    </w:p>
    <w:p w:rsidR="0050086B" w:rsidRPr="00FF10BC" w:rsidRDefault="0050086B" w:rsidP="0050086B">
      <w:pPr>
        <w:ind w:left="0"/>
        <w:rPr>
          <w:rFonts w:cstheme="minorHAnsi"/>
        </w:rPr>
      </w:pPr>
    </w:p>
    <w:p w:rsidR="0050086B" w:rsidRPr="00FF10BC" w:rsidRDefault="0050086B" w:rsidP="0050086B">
      <w:pPr>
        <w:ind w:left="0"/>
        <w:rPr>
          <w:rFonts w:cstheme="minorHAnsi"/>
        </w:rPr>
      </w:pPr>
    </w:p>
    <w:p w:rsidR="0050086B" w:rsidRPr="00FF10BC" w:rsidRDefault="00327B3B" w:rsidP="0050086B">
      <w:pPr>
        <w:ind w:left="0"/>
        <w:rPr>
          <w:rFonts w:cstheme="minorHAnsi"/>
          <w:b/>
          <w:u w:val="single"/>
        </w:rPr>
      </w:pPr>
      <w:r w:rsidRPr="00FF10BC">
        <w:rPr>
          <w:rFonts w:cstheme="minorHAnsi"/>
          <w:b/>
          <w:u w:val="single"/>
        </w:rPr>
        <w:t>Christian Traditions requirement</w:t>
      </w:r>
    </w:p>
    <w:p w:rsidR="00327B3B" w:rsidRPr="00FF10BC" w:rsidRDefault="00327B3B" w:rsidP="0050086B">
      <w:pPr>
        <w:ind w:left="0"/>
        <w:rPr>
          <w:rFonts w:cstheme="minorHAnsi"/>
        </w:rPr>
      </w:pPr>
    </w:p>
    <w:p w:rsidR="00327B3B" w:rsidRPr="00FF10BC" w:rsidRDefault="00327B3B" w:rsidP="0050086B">
      <w:pPr>
        <w:ind w:left="0"/>
        <w:rPr>
          <w:rFonts w:cstheme="minorHAnsi"/>
        </w:rPr>
      </w:pPr>
      <w:r w:rsidRPr="00FF10BC">
        <w:rPr>
          <w:rFonts w:cstheme="minorHAnsi"/>
        </w:rPr>
        <w:t>The General Education Committee endorses retaining the Christian Traditions requirement, with the understanding that CT courses will continue to carry LP suffixes as they do now.</w:t>
      </w:r>
      <w:r w:rsidR="00EA4CFD" w:rsidRPr="00FF10BC">
        <w:rPr>
          <w:rFonts w:cstheme="minorHAnsi"/>
        </w:rPr>
        <w:t xml:space="preserve"> The Christian Traditions requirement is one reflection of our Lutheran affiliation and heritage, and reflects our mission statement to help students develop “qualities of mind, spirit, and body </w:t>
      </w:r>
      <w:r w:rsidR="00EA4CFD" w:rsidRPr="00FF10BC">
        <w:rPr>
          <w:rFonts w:cstheme="minorHAnsi"/>
          <w:color w:val="000000"/>
          <w:shd w:val="clear" w:color="auto" w:fill="FFFFFF"/>
        </w:rPr>
        <w:t>necessary for a rewarding life of leadership and service in a diverse and changing world.”</w:t>
      </w:r>
      <w:r w:rsidR="00EA4CFD" w:rsidRPr="00FF10BC">
        <w:rPr>
          <w:rFonts w:cstheme="minorHAnsi"/>
        </w:rPr>
        <w:t xml:space="preserve"> </w:t>
      </w:r>
      <w:r w:rsidR="00AE0F52" w:rsidRPr="00FF10BC">
        <w:rPr>
          <w:rFonts w:cstheme="minorHAnsi"/>
        </w:rPr>
        <w:t xml:space="preserve">In so doing, the </w:t>
      </w:r>
      <w:r w:rsidR="00EA4CFD" w:rsidRPr="00FF10BC">
        <w:rPr>
          <w:rFonts w:cstheme="minorHAnsi"/>
        </w:rPr>
        <w:t>Christian</w:t>
      </w:r>
      <w:r w:rsidR="00AE0F52" w:rsidRPr="00FF10BC">
        <w:rPr>
          <w:rFonts w:cstheme="minorHAnsi"/>
        </w:rPr>
        <w:t xml:space="preserve"> Traditions class</w:t>
      </w:r>
      <w:r w:rsidR="00EA4CFD" w:rsidRPr="00FF10BC">
        <w:rPr>
          <w:rFonts w:cstheme="minorHAnsi"/>
        </w:rPr>
        <w:t xml:space="preserve"> </w:t>
      </w:r>
      <w:r w:rsidR="00AE0F52" w:rsidRPr="00FF10BC">
        <w:rPr>
          <w:rFonts w:cstheme="minorHAnsi"/>
        </w:rPr>
        <w:t xml:space="preserve">in many ways serves as the final course in our LSFY sequence, by reinforcing skills practiced over the course of 101, 102, and 103. </w:t>
      </w:r>
    </w:p>
    <w:p w:rsidR="00327B3B" w:rsidRPr="00FF10BC" w:rsidRDefault="00327B3B" w:rsidP="0050086B">
      <w:pPr>
        <w:ind w:left="0"/>
        <w:rPr>
          <w:rFonts w:cstheme="minorHAnsi"/>
        </w:rPr>
      </w:pPr>
    </w:p>
    <w:p w:rsidR="00327B3B" w:rsidRPr="00FF10BC" w:rsidRDefault="00327B3B" w:rsidP="0050086B">
      <w:pPr>
        <w:ind w:left="0"/>
        <w:rPr>
          <w:rFonts w:cstheme="minorHAnsi"/>
        </w:rPr>
      </w:pPr>
    </w:p>
    <w:p w:rsidR="0050086B" w:rsidRPr="00FF10BC" w:rsidRDefault="0050086B" w:rsidP="0050086B">
      <w:pPr>
        <w:ind w:left="0"/>
        <w:rPr>
          <w:rFonts w:cstheme="minorHAnsi"/>
          <w:b/>
          <w:u w:val="single"/>
        </w:rPr>
      </w:pPr>
      <w:r w:rsidRPr="00FF10BC">
        <w:rPr>
          <w:rFonts w:cstheme="minorHAnsi"/>
          <w:b/>
          <w:u w:val="single"/>
        </w:rPr>
        <w:t>Learning Perspectives requirement</w:t>
      </w:r>
    </w:p>
    <w:p w:rsidR="0050086B" w:rsidRPr="00FF10BC" w:rsidRDefault="0050086B" w:rsidP="0050086B">
      <w:pPr>
        <w:ind w:left="0"/>
        <w:rPr>
          <w:rFonts w:cstheme="minorHAnsi"/>
        </w:rPr>
      </w:pPr>
    </w:p>
    <w:p w:rsidR="00F41EEE" w:rsidRPr="00FF10BC" w:rsidRDefault="0050086B" w:rsidP="0050086B">
      <w:pPr>
        <w:ind w:left="0"/>
        <w:rPr>
          <w:rFonts w:eastAsia="Times New Roman" w:cstheme="minorHAnsi"/>
          <w:b/>
          <w:color w:val="000000" w:themeColor="text1"/>
          <w:u w:val="single"/>
        </w:rPr>
      </w:pPr>
      <w:r w:rsidRPr="00FF10BC">
        <w:rPr>
          <w:rFonts w:cstheme="minorHAnsi"/>
        </w:rPr>
        <w:t xml:space="preserve">The General Education Committee strongly endorses reducing the current LP “footprint” from 9 courses (effectively 8, with Christian Traditions) to 6 courses (effectively 5, with Christian Traditions). </w:t>
      </w:r>
      <w:r w:rsidR="004043C5" w:rsidRPr="00FF10BC">
        <w:rPr>
          <w:rFonts w:cstheme="minorHAnsi"/>
        </w:rPr>
        <w:t>T</w:t>
      </w:r>
      <w:r w:rsidRPr="00FF10BC">
        <w:rPr>
          <w:rFonts w:cstheme="minorHAnsi"/>
        </w:rPr>
        <w:t xml:space="preserve">he Committee values the breadth </w:t>
      </w:r>
      <w:r w:rsidR="00147668" w:rsidRPr="00FF10BC">
        <w:rPr>
          <w:rFonts w:cstheme="minorHAnsi"/>
        </w:rPr>
        <w:t xml:space="preserve">and exploration </w:t>
      </w:r>
      <w:r w:rsidRPr="00FF10BC">
        <w:rPr>
          <w:rFonts w:cstheme="minorHAnsi"/>
        </w:rPr>
        <w:t>provided to students through our LP offerings,</w:t>
      </w:r>
      <w:r w:rsidR="004043C5" w:rsidRPr="00FF10BC">
        <w:rPr>
          <w:rFonts w:cstheme="minorHAnsi"/>
        </w:rPr>
        <w:t xml:space="preserve"> but these courses offer th</w:t>
      </w:r>
      <w:r w:rsidR="00BB73D7" w:rsidRPr="00FF10BC">
        <w:rPr>
          <w:rFonts w:cstheme="minorHAnsi"/>
        </w:rPr>
        <w:t xml:space="preserve">e least to students in terms </w:t>
      </w:r>
      <w:r w:rsidR="004043C5" w:rsidRPr="00FF10BC">
        <w:rPr>
          <w:rFonts w:cstheme="minorHAnsi"/>
        </w:rPr>
        <w:t>intentional</w:t>
      </w:r>
      <w:r w:rsidR="00BB73D7" w:rsidRPr="00FF10BC">
        <w:rPr>
          <w:rFonts w:cstheme="minorHAnsi"/>
        </w:rPr>
        <w:t>ity, commonality, or skills development. While we hope to make these offerings more robust in terms of gen</w:t>
      </w:r>
      <w:r w:rsidR="002D61E4" w:rsidRPr="00FF10BC">
        <w:rPr>
          <w:rFonts w:cstheme="minorHAnsi"/>
        </w:rPr>
        <w:t>eral</w:t>
      </w:r>
      <w:r w:rsidR="00BB73D7" w:rsidRPr="00FF10BC">
        <w:rPr>
          <w:rFonts w:cstheme="minorHAnsi"/>
        </w:rPr>
        <w:t xml:space="preserve"> ed</w:t>
      </w:r>
      <w:r w:rsidR="002D61E4" w:rsidRPr="00FF10BC">
        <w:rPr>
          <w:rFonts w:cstheme="minorHAnsi"/>
        </w:rPr>
        <w:t>ucation</w:t>
      </w:r>
      <w:r w:rsidR="00BB73D7" w:rsidRPr="00FF10BC">
        <w:rPr>
          <w:rFonts w:cstheme="minorHAnsi"/>
        </w:rPr>
        <w:t xml:space="preserve"> outcomes in years to come (in keeping with the original AGES proposal), </w:t>
      </w:r>
      <w:r w:rsidR="00FF10BC" w:rsidRPr="00FF10BC">
        <w:rPr>
          <w:rFonts w:cstheme="minorHAnsi"/>
          <w:color w:val="000000" w:themeColor="text1"/>
          <w:shd w:val="clear" w:color="auto" w:fill="FFFFFF"/>
        </w:rPr>
        <w:t>our estimation is that AGES outcomes related to reading, writing, speaking, and critical thinking will be least impacted with a cut to LP classes.</w:t>
      </w:r>
      <w:r w:rsidR="00FF10BC" w:rsidRPr="00FF10BC">
        <w:rPr>
          <w:rFonts w:eastAsia="Times New Roman" w:cstheme="minorHAnsi"/>
          <w:b/>
          <w:color w:val="000000" w:themeColor="text1"/>
          <w:u w:val="single"/>
        </w:rPr>
        <w:t xml:space="preserve"> </w:t>
      </w:r>
    </w:p>
    <w:p w:rsidR="0050086B" w:rsidRPr="00FF10BC" w:rsidRDefault="0050086B" w:rsidP="0050086B">
      <w:pPr>
        <w:ind w:left="0"/>
        <w:rPr>
          <w:rFonts w:eastAsia="Times New Roman" w:cstheme="minorHAnsi"/>
          <w:b/>
          <w:color w:val="222222"/>
          <w:u w:val="single"/>
        </w:rPr>
      </w:pPr>
    </w:p>
    <w:p w:rsidR="00AE0F52" w:rsidRPr="00FF10BC" w:rsidRDefault="00AE0F52" w:rsidP="0050086B">
      <w:pPr>
        <w:ind w:left="0"/>
        <w:rPr>
          <w:rFonts w:eastAsia="Times New Roman" w:cstheme="minorHAnsi"/>
          <w:b/>
          <w:color w:val="222222"/>
          <w:u w:val="single"/>
        </w:rPr>
      </w:pPr>
    </w:p>
    <w:p w:rsidR="00AE0F52" w:rsidRPr="00FF10BC" w:rsidRDefault="00AE0F52" w:rsidP="0050086B">
      <w:pPr>
        <w:ind w:left="0"/>
        <w:rPr>
          <w:rFonts w:eastAsia="Times New Roman" w:cstheme="minorHAnsi"/>
          <w:b/>
          <w:color w:val="222222"/>
          <w:u w:val="single"/>
        </w:rPr>
      </w:pPr>
    </w:p>
    <w:p w:rsidR="00AE0F52" w:rsidRPr="00FF10BC" w:rsidRDefault="00AE0F52" w:rsidP="0050086B">
      <w:pPr>
        <w:ind w:left="0"/>
        <w:rPr>
          <w:rFonts w:eastAsia="Times New Roman" w:cstheme="minorHAnsi"/>
          <w:b/>
          <w:color w:val="222222"/>
          <w:u w:val="single"/>
        </w:rPr>
      </w:pPr>
    </w:p>
    <w:p w:rsidR="00FF10BC" w:rsidRDefault="00FF10BC" w:rsidP="0050086B">
      <w:pPr>
        <w:ind w:left="0"/>
        <w:rPr>
          <w:rFonts w:eastAsia="Times New Roman" w:cstheme="minorHAnsi"/>
          <w:b/>
          <w:color w:val="222222"/>
          <w:u w:val="single"/>
        </w:rPr>
      </w:pPr>
    </w:p>
    <w:p w:rsidR="00147668" w:rsidRPr="00FF10BC" w:rsidRDefault="00147668" w:rsidP="0050086B">
      <w:pPr>
        <w:ind w:left="0"/>
        <w:rPr>
          <w:rFonts w:eastAsia="Times New Roman" w:cstheme="minorHAnsi"/>
          <w:b/>
          <w:color w:val="222222"/>
          <w:u w:val="single"/>
        </w:rPr>
      </w:pPr>
      <w:r w:rsidRPr="00FF10BC">
        <w:rPr>
          <w:rFonts w:eastAsia="Times New Roman" w:cstheme="minorHAnsi"/>
          <w:b/>
          <w:color w:val="222222"/>
          <w:u w:val="single"/>
        </w:rPr>
        <w:t>Incorporation of “I” suffix into the PN Learning Perspective</w:t>
      </w:r>
    </w:p>
    <w:p w:rsidR="00147668" w:rsidRPr="00FF10BC" w:rsidRDefault="00147668" w:rsidP="0050086B">
      <w:pPr>
        <w:ind w:left="0"/>
        <w:rPr>
          <w:rFonts w:eastAsia="Times New Roman" w:cstheme="minorHAnsi"/>
          <w:b/>
          <w:color w:val="222222"/>
          <w:u w:val="single"/>
        </w:rPr>
      </w:pPr>
    </w:p>
    <w:p w:rsidR="00147668" w:rsidRPr="00FF10BC" w:rsidRDefault="00147668" w:rsidP="0050086B">
      <w:pPr>
        <w:ind w:left="0"/>
        <w:rPr>
          <w:rStyle w:val="apple-style-span"/>
          <w:rFonts w:cstheme="minorHAnsi"/>
          <w:color w:val="222222"/>
        </w:rPr>
      </w:pPr>
      <w:r w:rsidRPr="00FF10BC">
        <w:rPr>
          <w:rStyle w:val="apple-style-span"/>
          <w:rFonts w:cstheme="minorHAnsi"/>
          <w:color w:val="222222"/>
        </w:rPr>
        <w:t xml:space="preserve">It is clear that the college should still require some form of scientific inquiry course. However, Gen Ed has been tasked with reducing its footprint in the curriculum. </w:t>
      </w:r>
      <w:r w:rsidR="00401939" w:rsidRPr="00FF10BC">
        <w:rPr>
          <w:rStyle w:val="apple-style-span"/>
          <w:rFonts w:cstheme="minorHAnsi"/>
          <w:color w:val="222222"/>
        </w:rPr>
        <w:t xml:space="preserve">There is already a significant overlap in the descriptions of the PN and </w:t>
      </w:r>
      <w:proofErr w:type="gramStart"/>
      <w:r w:rsidR="00401939" w:rsidRPr="00FF10BC">
        <w:rPr>
          <w:rStyle w:val="apple-style-span"/>
          <w:rFonts w:cstheme="minorHAnsi"/>
          <w:color w:val="222222"/>
        </w:rPr>
        <w:t>I</w:t>
      </w:r>
      <w:proofErr w:type="gramEnd"/>
      <w:r w:rsidR="00401939" w:rsidRPr="00FF10BC">
        <w:rPr>
          <w:rStyle w:val="apple-style-span"/>
          <w:rFonts w:cstheme="minorHAnsi"/>
          <w:color w:val="222222"/>
        </w:rPr>
        <w:t xml:space="preserve"> requirements. We believe that a single designation capturing both would stream-line the application process and facilitate the case-making process for the designation. </w:t>
      </w:r>
      <w:r w:rsidRPr="00FF10BC">
        <w:rPr>
          <w:rStyle w:val="apple-style-span"/>
          <w:rFonts w:cstheme="minorHAnsi"/>
          <w:color w:val="222222"/>
        </w:rPr>
        <w:t xml:space="preserve">As a result, we recommend a new PN definition to incorporate material now associated with </w:t>
      </w:r>
      <w:proofErr w:type="gramStart"/>
      <w:r w:rsidRPr="00FF10BC">
        <w:rPr>
          <w:rStyle w:val="apple-style-span"/>
          <w:rFonts w:cstheme="minorHAnsi"/>
          <w:color w:val="222222"/>
        </w:rPr>
        <w:t>the I</w:t>
      </w:r>
      <w:proofErr w:type="gramEnd"/>
      <w:r w:rsidRPr="00FF10BC">
        <w:rPr>
          <w:rStyle w:val="apple-style-span"/>
          <w:rFonts w:cstheme="minorHAnsi"/>
          <w:color w:val="222222"/>
        </w:rPr>
        <w:t xml:space="preserve"> suffix. Our provis</w:t>
      </w:r>
      <w:r w:rsidR="00BB73D7" w:rsidRPr="00FF10BC">
        <w:rPr>
          <w:rStyle w:val="apple-style-span"/>
          <w:rFonts w:cstheme="minorHAnsi"/>
          <w:color w:val="222222"/>
        </w:rPr>
        <w:t>ional definition of the new PN will hold</w:t>
      </w:r>
      <w:r w:rsidRPr="00FF10BC">
        <w:rPr>
          <w:rStyle w:val="apple-style-span"/>
          <w:rFonts w:cstheme="minorHAnsi"/>
          <w:color w:val="222222"/>
        </w:rPr>
        <w:t xml:space="preserve"> that students must: (1) examine natural laws, (2) engage in scientific inquiry, and (3) encounter science as a modern discipline. </w:t>
      </w:r>
      <w:r w:rsidRPr="00FF10BC">
        <w:rPr>
          <w:rFonts w:cstheme="minorHAnsi"/>
          <w:color w:val="222222"/>
        </w:rPr>
        <w:br/>
      </w:r>
    </w:p>
    <w:p w:rsidR="00147668" w:rsidRPr="00FF10BC" w:rsidRDefault="00147668" w:rsidP="0050086B">
      <w:pPr>
        <w:ind w:left="0"/>
        <w:rPr>
          <w:rFonts w:cstheme="minorHAnsi"/>
          <w:color w:val="222222"/>
        </w:rPr>
      </w:pPr>
      <w:r w:rsidRPr="00FF10BC">
        <w:rPr>
          <w:rStyle w:val="apple-style-span"/>
          <w:rFonts w:cstheme="minorHAnsi"/>
          <w:color w:val="222222"/>
        </w:rPr>
        <w:t xml:space="preserve">There are currently a few courses with a PN and without </w:t>
      </w:r>
      <w:proofErr w:type="gramStart"/>
      <w:r w:rsidRPr="00FF10BC">
        <w:rPr>
          <w:rStyle w:val="apple-style-span"/>
          <w:rFonts w:cstheme="minorHAnsi"/>
          <w:color w:val="222222"/>
        </w:rPr>
        <w:t>an I</w:t>
      </w:r>
      <w:proofErr w:type="gramEnd"/>
      <w:r w:rsidR="009F7DB9" w:rsidRPr="00FF10BC">
        <w:rPr>
          <w:rStyle w:val="apple-style-span"/>
          <w:rFonts w:cstheme="minorHAnsi"/>
          <w:color w:val="222222"/>
        </w:rPr>
        <w:t xml:space="preserve"> suffix</w:t>
      </w:r>
      <w:r w:rsidRPr="00FF10BC">
        <w:rPr>
          <w:rStyle w:val="apple-style-span"/>
          <w:rFonts w:cstheme="minorHAnsi"/>
          <w:color w:val="222222"/>
        </w:rPr>
        <w:t xml:space="preserve">. These courses become significantly less appealing for a Gen Ed requirement after a reduction from 9 to 6 LPs. However, many of them will be able to include scientific inquiry, or can be slightly redesigned to include scientific inquiry. There are also a few courses on campus with </w:t>
      </w:r>
      <w:proofErr w:type="gramStart"/>
      <w:r w:rsidRPr="00FF10BC">
        <w:rPr>
          <w:rStyle w:val="apple-style-span"/>
          <w:rFonts w:cstheme="minorHAnsi"/>
          <w:color w:val="222222"/>
        </w:rPr>
        <w:t>an I</w:t>
      </w:r>
      <w:proofErr w:type="gramEnd"/>
      <w:r w:rsidRPr="00FF10BC">
        <w:rPr>
          <w:rStyle w:val="apple-style-span"/>
          <w:rFonts w:cstheme="minorHAnsi"/>
          <w:color w:val="222222"/>
        </w:rPr>
        <w:t xml:space="preserve"> but not a PN. Many of these courses are </w:t>
      </w:r>
      <w:r w:rsidR="00401939" w:rsidRPr="00FF10BC">
        <w:rPr>
          <w:rStyle w:val="apple-style-span"/>
          <w:rFonts w:cstheme="minorHAnsi"/>
          <w:color w:val="222222"/>
        </w:rPr>
        <w:t xml:space="preserve">upper-division courses, </w:t>
      </w:r>
      <w:r w:rsidRPr="00FF10BC">
        <w:rPr>
          <w:rStyle w:val="apple-style-span"/>
          <w:rFonts w:cstheme="minorHAnsi"/>
          <w:color w:val="222222"/>
        </w:rPr>
        <w:t>much like senior inquiry (SI) experiences. The students who take these would already be required to take a PN course, so we do not anticipate any Gen</w:t>
      </w:r>
      <w:r w:rsidR="00401939" w:rsidRPr="00FF10BC">
        <w:rPr>
          <w:rStyle w:val="apple-style-span"/>
          <w:rFonts w:cstheme="minorHAnsi"/>
          <w:color w:val="222222"/>
        </w:rPr>
        <w:t xml:space="preserve"> </w:t>
      </w:r>
      <w:r w:rsidR="005A3793" w:rsidRPr="00FF10BC">
        <w:rPr>
          <w:rStyle w:val="apple-style-span"/>
          <w:rFonts w:cstheme="minorHAnsi"/>
          <w:color w:val="222222"/>
        </w:rPr>
        <w:t xml:space="preserve">Ed losses from removing </w:t>
      </w:r>
      <w:proofErr w:type="gramStart"/>
      <w:r w:rsidR="005A3793" w:rsidRPr="00FF10BC">
        <w:rPr>
          <w:rStyle w:val="apple-style-span"/>
          <w:rFonts w:cstheme="minorHAnsi"/>
          <w:color w:val="222222"/>
        </w:rPr>
        <w:t xml:space="preserve">the </w:t>
      </w:r>
      <w:r w:rsidRPr="00FF10BC">
        <w:rPr>
          <w:rStyle w:val="apple-style-span"/>
          <w:rFonts w:cstheme="minorHAnsi"/>
          <w:color w:val="222222"/>
        </w:rPr>
        <w:t>I</w:t>
      </w:r>
      <w:proofErr w:type="gramEnd"/>
      <w:r w:rsidRPr="00FF10BC">
        <w:rPr>
          <w:rStyle w:val="apple-style-span"/>
          <w:rFonts w:cstheme="minorHAnsi"/>
          <w:color w:val="222222"/>
        </w:rPr>
        <w:t xml:space="preserve"> from these classes.</w:t>
      </w:r>
      <w:r w:rsidRPr="00FF10BC">
        <w:rPr>
          <w:rFonts w:cstheme="minorHAnsi"/>
          <w:color w:val="222222"/>
        </w:rPr>
        <w:br/>
      </w:r>
      <w:r w:rsidRPr="00FF10BC">
        <w:rPr>
          <w:rFonts w:cstheme="minorHAnsi"/>
          <w:color w:val="222222"/>
        </w:rPr>
        <w:br/>
      </w:r>
      <w:r w:rsidRPr="00FF10BC">
        <w:rPr>
          <w:rStyle w:val="apple-style-span"/>
          <w:rFonts w:cstheme="minorHAnsi"/>
          <w:color w:val="222222"/>
        </w:rPr>
        <w:t>Finally, we suggest that A</w:t>
      </w:r>
      <w:r w:rsidR="00401939" w:rsidRPr="00FF10BC">
        <w:rPr>
          <w:rStyle w:val="apple-style-span"/>
          <w:rFonts w:cstheme="minorHAnsi"/>
          <w:color w:val="222222"/>
        </w:rPr>
        <w:t xml:space="preserve">P credit </w:t>
      </w:r>
      <w:r w:rsidR="002D61E4" w:rsidRPr="00FF10BC">
        <w:rPr>
          <w:rStyle w:val="apple-style-span"/>
          <w:rFonts w:cstheme="minorHAnsi"/>
          <w:color w:val="222222"/>
        </w:rPr>
        <w:t xml:space="preserve">not </w:t>
      </w:r>
      <w:r w:rsidR="00401939" w:rsidRPr="00FF10BC">
        <w:rPr>
          <w:rStyle w:val="apple-style-span"/>
          <w:rFonts w:cstheme="minorHAnsi"/>
          <w:color w:val="222222"/>
        </w:rPr>
        <w:t>carry with it a PN</w:t>
      </w:r>
      <w:r w:rsidRPr="00FF10BC">
        <w:rPr>
          <w:rStyle w:val="apple-style-span"/>
          <w:rFonts w:cstheme="minorHAnsi"/>
          <w:color w:val="222222"/>
        </w:rPr>
        <w:t xml:space="preserve"> designation in much the same way that AP History carries credits but not a PP.</w:t>
      </w:r>
    </w:p>
    <w:p w:rsidR="0050086B" w:rsidRPr="00FF10BC" w:rsidRDefault="0050086B" w:rsidP="0050086B">
      <w:pPr>
        <w:ind w:left="0"/>
        <w:rPr>
          <w:rFonts w:eastAsia="Times New Roman" w:cstheme="minorHAnsi"/>
          <w:b/>
          <w:color w:val="222222"/>
          <w:u w:val="single"/>
        </w:rPr>
      </w:pPr>
    </w:p>
    <w:p w:rsidR="002D61E4" w:rsidRPr="00FF10BC" w:rsidRDefault="002D61E4" w:rsidP="0050086B">
      <w:pPr>
        <w:ind w:left="0"/>
        <w:rPr>
          <w:rFonts w:eastAsia="Times New Roman" w:cstheme="minorHAnsi"/>
          <w:b/>
          <w:color w:val="222222"/>
          <w:u w:val="single"/>
        </w:rPr>
      </w:pPr>
    </w:p>
    <w:p w:rsidR="00401939" w:rsidRPr="00FF10BC" w:rsidRDefault="00401939" w:rsidP="0050086B">
      <w:pPr>
        <w:ind w:left="0"/>
        <w:rPr>
          <w:rFonts w:eastAsia="Times New Roman" w:cstheme="minorHAnsi"/>
          <w:b/>
          <w:color w:val="222222"/>
          <w:u w:val="single"/>
        </w:rPr>
      </w:pPr>
      <w:r w:rsidRPr="00FF10BC">
        <w:rPr>
          <w:rFonts w:eastAsia="Times New Roman" w:cstheme="minorHAnsi"/>
          <w:b/>
          <w:color w:val="222222"/>
          <w:u w:val="single"/>
        </w:rPr>
        <w:t>G and D suffix requirements</w:t>
      </w:r>
    </w:p>
    <w:p w:rsidR="00401939" w:rsidRPr="00FF10BC" w:rsidRDefault="00401939" w:rsidP="0050086B">
      <w:pPr>
        <w:ind w:left="0"/>
        <w:rPr>
          <w:rFonts w:eastAsia="Times New Roman" w:cstheme="minorHAnsi"/>
          <w:b/>
          <w:color w:val="222222"/>
          <w:u w:val="single"/>
        </w:rPr>
      </w:pPr>
    </w:p>
    <w:p w:rsidR="00401939" w:rsidRPr="00FF10BC" w:rsidRDefault="00401939" w:rsidP="00401939">
      <w:pPr>
        <w:ind w:left="0"/>
        <w:rPr>
          <w:rFonts w:cstheme="minorHAnsi"/>
        </w:rPr>
      </w:pPr>
      <w:r w:rsidRPr="00FF10BC">
        <w:rPr>
          <w:rFonts w:cstheme="minorHAnsi"/>
        </w:rPr>
        <w:t xml:space="preserve">The General Education Committee strongly endorses the continuation of the Global (“G”) and Diversity (“D”) suffixed courses as two distinct and significant requirements in the AGES curriculum.  Classes in these areas help students learn to embrace and investigate differences and provide opportunities to help students comprehend and confront contemporary matters to make cross cultural connections.  Through these requirements students develop an understanding and awareness of other perspectives, find commonalities, and examine stereotypes of different cultures. Through classes which fulfill Global and Diversity requirements, </w:t>
      </w:r>
      <w:proofErr w:type="spellStart"/>
      <w:r w:rsidRPr="00FF10BC">
        <w:rPr>
          <w:rFonts w:cstheme="minorHAnsi"/>
        </w:rPr>
        <w:t>Augustana</w:t>
      </w:r>
      <w:proofErr w:type="spellEnd"/>
      <w:r w:rsidRPr="00FF10BC">
        <w:rPr>
          <w:rFonts w:cstheme="minorHAnsi"/>
        </w:rPr>
        <w:t xml:space="preserve"> students develop an understanding of their own backgrounds, and learn to evaluate others’ philosophies, cultural traditions, and social practices from multiple perspectives.  </w:t>
      </w:r>
    </w:p>
    <w:p w:rsidR="009F7DB9" w:rsidRPr="00FF10BC" w:rsidRDefault="009F7DB9" w:rsidP="00401939">
      <w:pPr>
        <w:ind w:left="0"/>
        <w:rPr>
          <w:rFonts w:cstheme="minorHAnsi"/>
        </w:rPr>
      </w:pPr>
    </w:p>
    <w:p w:rsidR="00401939" w:rsidRPr="00FF10BC" w:rsidRDefault="00401939" w:rsidP="00401939">
      <w:pPr>
        <w:ind w:left="0"/>
        <w:rPr>
          <w:rFonts w:cstheme="minorHAnsi"/>
        </w:rPr>
      </w:pPr>
      <w:r w:rsidRPr="00FF10BC">
        <w:rPr>
          <w:rFonts w:cstheme="minorHAnsi"/>
        </w:rPr>
        <w:t>Identifying and embracing differences of gender, race, ethnicity, class, creed, age, ability/disability, and sexual orientation while acknowledging the distinctive contributions of one or more groups reveals unique perspectives on the changing global landscape.   In today’s world it is integral for students to develop skills to function in a diversified global economy, to</w:t>
      </w:r>
      <w:r w:rsidR="00F41EEE" w:rsidRPr="00FF10BC">
        <w:rPr>
          <w:rFonts w:cstheme="minorHAnsi"/>
        </w:rPr>
        <w:t xml:space="preserve"> be cognizant of other societies’</w:t>
      </w:r>
      <w:r w:rsidRPr="00FF10BC">
        <w:rPr>
          <w:rFonts w:cstheme="minorHAnsi"/>
        </w:rPr>
        <w:t xml:space="preserve"> music, religion, literature, art, and political expressions.  The importance of global awareness is emphasized in </w:t>
      </w:r>
      <w:proofErr w:type="spellStart"/>
      <w:r w:rsidRPr="00FF10BC">
        <w:rPr>
          <w:rFonts w:cstheme="minorHAnsi"/>
        </w:rPr>
        <w:t>Augustana’s</w:t>
      </w:r>
      <w:proofErr w:type="spellEnd"/>
      <w:r w:rsidRPr="00FF10BC">
        <w:rPr>
          <w:rFonts w:cstheme="minorHAnsi"/>
        </w:rPr>
        <w:t xml:space="preserve"> mission and Gen Ed continues to endorse this component of our required AGES requirement.</w:t>
      </w:r>
    </w:p>
    <w:p w:rsidR="00401939" w:rsidRPr="00FF10BC" w:rsidRDefault="00401939" w:rsidP="0050086B">
      <w:pPr>
        <w:ind w:left="0"/>
        <w:rPr>
          <w:rFonts w:eastAsia="Times New Roman" w:cstheme="minorHAnsi"/>
          <w:b/>
          <w:color w:val="222222"/>
          <w:u w:val="single"/>
        </w:rPr>
      </w:pPr>
    </w:p>
    <w:p w:rsidR="00401939" w:rsidRPr="00FF10BC" w:rsidRDefault="00401939" w:rsidP="0050086B">
      <w:pPr>
        <w:ind w:left="0"/>
        <w:rPr>
          <w:rFonts w:eastAsia="Times New Roman" w:cstheme="minorHAnsi"/>
          <w:b/>
          <w:color w:val="222222"/>
          <w:u w:val="single"/>
        </w:rPr>
      </w:pPr>
    </w:p>
    <w:p w:rsidR="0050086B" w:rsidRPr="00FF10BC" w:rsidRDefault="0050086B" w:rsidP="0050086B">
      <w:pPr>
        <w:ind w:left="0"/>
        <w:rPr>
          <w:rFonts w:eastAsia="Times New Roman" w:cstheme="minorHAnsi"/>
          <w:b/>
          <w:color w:val="222222"/>
          <w:u w:val="single"/>
        </w:rPr>
      </w:pPr>
      <w:r w:rsidRPr="00FF10BC">
        <w:rPr>
          <w:rFonts w:eastAsia="Times New Roman" w:cstheme="minorHAnsi"/>
          <w:b/>
          <w:color w:val="222222"/>
          <w:u w:val="single"/>
        </w:rPr>
        <w:t>Q requirement</w:t>
      </w:r>
    </w:p>
    <w:p w:rsidR="0050086B" w:rsidRPr="00FF10BC" w:rsidRDefault="0050086B" w:rsidP="0050086B">
      <w:pPr>
        <w:ind w:left="0"/>
        <w:rPr>
          <w:rFonts w:eastAsia="Times New Roman" w:cstheme="minorHAnsi"/>
          <w:color w:val="222222"/>
        </w:rPr>
      </w:pPr>
    </w:p>
    <w:p w:rsidR="0050086B" w:rsidRPr="00FF10BC" w:rsidRDefault="0050086B" w:rsidP="0050086B">
      <w:pPr>
        <w:ind w:left="0"/>
        <w:rPr>
          <w:rFonts w:eastAsia="Times New Roman" w:cstheme="minorHAnsi"/>
          <w:color w:val="222222"/>
        </w:rPr>
      </w:pPr>
      <w:r w:rsidRPr="00FF10BC">
        <w:rPr>
          <w:rFonts w:eastAsia="Times New Roman" w:cstheme="minorHAnsi"/>
          <w:color w:val="222222"/>
        </w:rPr>
        <w:t>The General Education</w:t>
      </w:r>
      <w:r w:rsidR="002D61E4" w:rsidRPr="00FF10BC">
        <w:rPr>
          <w:rFonts w:eastAsia="Times New Roman" w:cstheme="minorHAnsi"/>
          <w:color w:val="222222"/>
        </w:rPr>
        <w:t xml:space="preserve"> Committee strongly endorses a one</w:t>
      </w:r>
      <w:r w:rsidRPr="00FF10BC">
        <w:rPr>
          <w:rFonts w:eastAsia="Times New Roman" w:cstheme="minorHAnsi"/>
          <w:color w:val="222222"/>
        </w:rPr>
        <w:t xml:space="preserve"> course quantitative/statistical literacy requirement. Quantitative and statistical modes of reasoning are important for college graduates and are becoming more so; statistical and quantitative literacy have become critical citizenship skills. For </w:t>
      </w:r>
      <w:r w:rsidRPr="00FF10BC">
        <w:rPr>
          <w:rFonts w:eastAsia="Times New Roman" w:cstheme="minorHAnsi"/>
          <w:color w:val="222222"/>
        </w:rPr>
        <w:lastRenderedPageBreak/>
        <w:t>exam</w:t>
      </w:r>
      <w:r w:rsidR="00BE6A19">
        <w:rPr>
          <w:rFonts w:eastAsia="Times New Roman" w:cstheme="minorHAnsi"/>
          <w:color w:val="222222"/>
        </w:rPr>
        <w:t>ple</w:t>
      </w:r>
      <w:r w:rsidRPr="00FF10BC">
        <w:rPr>
          <w:rFonts w:eastAsia="Times New Roman" w:cstheme="minorHAnsi"/>
          <w:color w:val="222222"/>
        </w:rPr>
        <w:t>, consider the decisions that politicians make about the climate. There is a clear national trend of students failing to deve</w:t>
      </w:r>
      <w:r w:rsidR="00F41EEE" w:rsidRPr="00FF10BC">
        <w:rPr>
          <w:rFonts w:eastAsia="Times New Roman" w:cstheme="minorHAnsi"/>
          <w:color w:val="222222"/>
        </w:rPr>
        <w:t xml:space="preserve">lop these skills in high school </w:t>
      </w:r>
      <w:r w:rsidRPr="00FF10BC">
        <w:rPr>
          <w:rFonts w:eastAsia="Times New Roman" w:cstheme="minorHAnsi"/>
          <w:color w:val="222222"/>
        </w:rPr>
        <w:t>and never developing them in college; as a result, the federal government recently amended education legislation</w:t>
      </w:r>
      <w:r w:rsidR="00000CBD" w:rsidRPr="00FF10BC">
        <w:rPr>
          <w:rFonts w:eastAsia="Times New Roman" w:cstheme="minorHAnsi"/>
          <w:color w:val="222222"/>
        </w:rPr>
        <w:t xml:space="preserve"> </w:t>
      </w:r>
      <w:r w:rsidRPr="00FF10BC">
        <w:rPr>
          <w:rFonts w:eastAsia="Times New Roman" w:cstheme="minorHAnsi"/>
          <w:color w:val="222222"/>
        </w:rPr>
        <w:t xml:space="preserve">to include statistical literacy. </w:t>
      </w:r>
      <w:r w:rsidR="00000CBD" w:rsidRPr="00FF10BC">
        <w:rPr>
          <w:rFonts w:eastAsia="Times New Roman" w:cstheme="minorHAnsi"/>
          <w:color w:val="222222"/>
        </w:rPr>
        <w:t>W</w:t>
      </w:r>
      <w:r w:rsidRPr="00FF10BC">
        <w:rPr>
          <w:rFonts w:eastAsia="Times New Roman" w:cstheme="minorHAnsi"/>
          <w:color w:val="222222"/>
        </w:rPr>
        <w:t>e have copious anecdotal evidence that a sizable portion of the incoming student body needs significant aid in becoming quantitatively/statistically literate.</w:t>
      </w:r>
    </w:p>
    <w:p w:rsidR="0050086B" w:rsidRPr="00FF10BC" w:rsidRDefault="0050086B" w:rsidP="0050086B">
      <w:pPr>
        <w:ind w:left="0"/>
        <w:rPr>
          <w:rFonts w:eastAsia="Times New Roman" w:cstheme="minorHAnsi"/>
          <w:color w:val="222222"/>
        </w:rPr>
      </w:pPr>
    </w:p>
    <w:p w:rsidR="0050086B" w:rsidRPr="00FF10BC" w:rsidRDefault="0050086B" w:rsidP="0050086B">
      <w:pPr>
        <w:ind w:left="0"/>
        <w:rPr>
          <w:rFonts w:eastAsia="Times New Roman" w:cstheme="minorHAnsi"/>
          <w:color w:val="222222"/>
        </w:rPr>
      </w:pPr>
      <w:r w:rsidRPr="00FF10BC">
        <w:rPr>
          <w:rFonts w:eastAsia="Times New Roman" w:cstheme="minorHAnsi"/>
          <w:color w:val="222222"/>
        </w:rPr>
        <w:t>In theory, quantitative and statistical literacy could be folded into general information literacy (and</w:t>
      </w:r>
    </w:p>
    <w:p w:rsidR="0050086B" w:rsidRPr="00FF10BC" w:rsidRDefault="0050086B" w:rsidP="0050086B">
      <w:pPr>
        <w:ind w:left="0"/>
        <w:rPr>
          <w:rFonts w:eastAsia="Times New Roman" w:cstheme="minorHAnsi"/>
          <w:color w:val="222222"/>
        </w:rPr>
      </w:pPr>
      <w:proofErr w:type="gramStart"/>
      <w:r w:rsidRPr="00FF10BC">
        <w:rPr>
          <w:rFonts w:eastAsia="Times New Roman" w:cstheme="minorHAnsi"/>
          <w:color w:val="222222"/>
        </w:rPr>
        <w:t>hence</w:t>
      </w:r>
      <w:proofErr w:type="gramEnd"/>
      <w:r w:rsidRPr="00FF10BC">
        <w:rPr>
          <w:rFonts w:eastAsia="Times New Roman" w:cstheme="minorHAnsi"/>
          <w:color w:val="222222"/>
        </w:rPr>
        <w:t xml:space="preserve"> included in LSFY) or into scientific inquiry (and hence included in the PN), but the instructors of</w:t>
      </w:r>
    </w:p>
    <w:p w:rsidR="0050086B" w:rsidRPr="00FF10BC" w:rsidRDefault="0050086B" w:rsidP="0050086B">
      <w:pPr>
        <w:ind w:left="0"/>
        <w:rPr>
          <w:rFonts w:eastAsia="Times New Roman" w:cstheme="minorHAnsi"/>
          <w:color w:val="222222"/>
        </w:rPr>
      </w:pPr>
      <w:proofErr w:type="gramStart"/>
      <w:r w:rsidRPr="00FF10BC">
        <w:rPr>
          <w:rFonts w:eastAsia="Times New Roman" w:cstheme="minorHAnsi"/>
          <w:color w:val="222222"/>
        </w:rPr>
        <w:t>these</w:t>
      </w:r>
      <w:proofErr w:type="gramEnd"/>
      <w:r w:rsidRPr="00FF10BC">
        <w:rPr>
          <w:rFonts w:eastAsia="Times New Roman" w:cstheme="minorHAnsi"/>
          <w:color w:val="222222"/>
        </w:rPr>
        <w:t xml:space="preserve"> courses already report being unable to incorporate all aspects of the expected general education</w:t>
      </w:r>
    </w:p>
    <w:p w:rsidR="0050086B" w:rsidRPr="00FF10BC" w:rsidRDefault="0050086B" w:rsidP="0050086B">
      <w:pPr>
        <w:ind w:left="0"/>
        <w:rPr>
          <w:rFonts w:eastAsia="Times New Roman" w:cstheme="minorHAnsi"/>
          <w:color w:val="222222"/>
        </w:rPr>
      </w:pPr>
      <w:proofErr w:type="gramStart"/>
      <w:r w:rsidRPr="00FF10BC">
        <w:rPr>
          <w:rFonts w:eastAsia="Times New Roman" w:cstheme="minorHAnsi"/>
          <w:color w:val="222222"/>
        </w:rPr>
        <w:t>skills</w:t>
      </w:r>
      <w:proofErr w:type="gramEnd"/>
      <w:r w:rsidRPr="00FF10BC">
        <w:rPr>
          <w:rFonts w:eastAsia="Times New Roman" w:cstheme="minorHAnsi"/>
          <w:color w:val="222222"/>
        </w:rPr>
        <w:t xml:space="preserve"> into these courses currently. In short, there is a clear need for dedicated time spent with students</w:t>
      </w:r>
    </w:p>
    <w:p w:rsidR="0050086B" w:rsidRPr="00FF10BC" w:rsidRDefault="0050086B" w:rsidP="0050086B">
      <w:pPr>
        <w:ind w:left="0"/>
        <w:rPr>
          <w:rFonts w:eastAsia="Times New Roman" w:cstheme="minorHAnsi"/>
          <w:color w:val="222222"/>
        </w:rPr>
      </w:pPr>
      <w:proofErr w:type="gramStart"/>
      <w:r w:rsidRPr="00FF10BC">
        <w:rPr>
          <w:rFonts w:eastAsia="Times New Roman" w:cstheme="minorHAnsi"/>
          <w:color w:val="222222"/>
        </w:rPr>
        <w:t>on</w:t>
      </w:r>
      <w:proofErr w:type="gramEnd"/>
      <w:r w:rsidRPr="00FF10BC">
        <w:rPr>
          <w:rFonts w:eastAsia="Times New Roman" w:cstheme="minorHAnsi"/>
          <w:color w:val="222222"/>
        </w:rPr>
        <w:t xml:space="preserve"> quantitative and statistical literacy.</w:t>
      </w:r>
    </w:p>
    <w:p w:rsidR="0050086B" w:rsidRPr="00FF10BC" w:rsidRDefault="0050086B" w:rsidP="0050086B">
      <w:pPr>
        <w:ind w:left="0"/>
        <w:rPr>
          <w:rFonts w:eastAsia="Times New Roman" w:cstheme="minorHAnsi"/>
          <w:b/>
          <w:bCs/>
          <w:color w:val="222222"/>
          <w:u w:val="single"/>
        </w:rPr>
      </w:pPr>
    </w:p>
    <w:p w:rsidR="0050086B" w:rsidRPr="00FF10BC" w:rsidRDefault="0050086B" w:rsidP="0050086B">
      <w:pPr>
        <w:ind w:left="0"/>
        <w:rPr>
          <w:rFonts w:eastAsia="Times New Roman" w:cstheme="minorHAnsi"/>
          <w:b/>
          <w:bCs/>
          <w:color w:val="222222"/>
          <w:u w:val="single"/>
        </w:rPr>
      </w:pPr>
    </w:p>
    <w:p w:rsidR="009B077A" w:rsidRPr="00FF10BC" w:rsidRDefault="00F41EEE" w:rsidP="0050086B">
      <w:pPr>
        <w:ind w:left="0"/>
        <w:rPr>
          <w:rFonts w:eastAsia="Times New Roman" w:cstheme="minorHAnsi"/>
          <w:color w:val="222222"/>
        </w:rPr>
      </w:pPr>
      <w:r w:rsidRPr="00FF10BC">
        <w:rPr>
          <w:rFonts w:eastAsia="Times New Roman" w:cstheme="minorHAnsi"/>
          <w:b/>
          <w:bCs/>
          <w:color w:val="222222"/>
          <w:u w:val="single"/>
        </w:rPr>
        <w:t xml:space="preserve">Learning Community </w:t>
      </w:r>
      <w:r w:rsidR="0050086B" w:rsidRPr="00FF10BC">
        <w:rPr>
          <w:rFonts w:eastAsia="Times New Roman" w:cstheme="minorHAnsi"/>
          <w:b/>
          <w:bCs/>
          <w:color w:val="222222"/>
          <w:u w:val="single"/>
        </w:rPr>
        <w:t>requirement</w:t>
      </w:r>
    </w:p>
    <w:p w:rsidR="00056896" w:rsidRPr="00FF10BC" w:rsidRDefault="00056896" w:rsidP="0050086B">
      <w:pPr>
        <w:ind w:left="0"/>
        <w:rPr>
          <w:rFonts w:eastAsia="Times New Roman" w:cstheme="minorHAnsi"/>
          <w:color w:val="222222"/>
        </w:rPr>
      </w:pPr>
    </w:p>
    <w:p w:rsidR="009B077A" w:rsidRPr="00FF10BC" w:rsidRDefault="00056896" w:rsidP="0050086B">
      <w:pPr>
        <w:ind w:left="0"/>
        <w:rPr>
          <w:rFonts w:eastAsia="Times New Roman" w:cstheme="minorHAnsi"/>
          <w:color w:val="222222"/>
        </w:rPr>
      </w:pPr>
      <w:r w:rsidRPr="00FF10BC">
        <w:rPr>
          <w:rFonts w:eastAsia="Times New Roman" w:cstheme="minorHAnsi"/>
          <w:color w:val="222222"/>
        </w:rPr>
        <w:t xml:space="preserve">The General Education committee </w:t>
      </w:r>
      <w:r w:rsidR="009B077A" w:rsidRPr="00FF10BC">
        <w:rPr>
          <w:rFonts w:eastAsia="Times New Roman" w:cstheme="minorHAnsi"/>
          <w:color w:val="222222"/>
        </w:rPr>
        <w:t>recommend</w:t>
      </w:r>
      <w:r w:rsidRPr="00FF10BC">
        <w:rPr>
          <w:rFonts w:eastAsia="Times New Roman" w:cstheme="minorHAnsi"/>
          <w:color w:val="222222"/>
        </w:rPr>
        <w:t xml:space="preserve">s removing our </w:t>
      </w:r>
      <w:r w:rsidR="009B077A" w:rsidRPr="00FF10BC">
        <w:rPr>
          <w:rFonts w:eastAsia="Times New Roman" w:cstheme="minorHAnsi"/>
          <w:color w:val="222222"/>
        </w:rPr>
        <w:t>Learning Community requirement</w:t>
      </w:r>
      <w:r w:rsidRPr="00FF10BC">
        <w:rPr>
          <w:rFonts w:eastAsia="Times New Roman" w:cstheme="minorHAnsi"/>
          <w:color w:val="222222"/>
        </w:rPr>
        <w:t xml:space="preserve"> from the AGES curriculum</w:t>
      </w:r>
      <w:r w:rsidR="009B077A" w:rsidRPr="00FF10BC">
        <w:rPr>
          <w:rFonts w:eastAsia="Times New Roman" w:cstheme="minorHAnsi"/>
          <w:color w:val="222222"/>
        </w:rPr>
        <w:t xml:space="preserve">. </w:t>
      </w:r>
    </w:p>
    <w:p w:rsidR="009B077A" w:rsidRPr="00FF10BC" w:rsidRDefault="009B077A" w:rsidP="0050086B">
      <w:pPr>
        <w:ind w:left="0"/>
        <w:rPr>
          <w:rFonts w:eastAsia="Times New Roman" w:cstheme="minorHAnsi"/>
          <w:color w:val="222222"/>
        </w:rPr>
      </w:pPr>
    </w:p>
    <w:p w:rsidR="009B077A" w:rsidRPr="00FF10BC" w:rsidRDefault="00056896" w:rsidP="0050086B">
      <w:pPr>
        <w:ind w:left="0"/>
        <w:rPr>
          <w:rFonts w:eastAsia="Times New Roman" w:cstheme="minorHAnsi"/>
          <w:color w:val="222222"/>
        </w:rPr>
      </w:pPr>
      <w:r w:rsidRPr="00FF10BC">
        <w:rPr>
          <w:rFonts w:eastAsia="Times New Roman" w:cstheme="minorHAnsi"/>
          <w:color w:val="222222"/>
        </w:rPr>
        <w:t xml:space="preserve">We arrived at this regrettable conclusion after much deliberation. On two surveys and in various conversations, faculty </w:t>
      </w:r>
      <w:r w:rsidR="005A3793" w:rsidRPr="00FF10BC">
        <w:rPr>
          <w:rFonts w:eastAsia="Times New Roman" w:cstheme="minorHAnsi"/>
          <w:color w:val="222222"/>
        </w:rPr>
        <w:t xml:space="preserve">members </w:t>
      </w:r>
      <w:r w:rsidRPr="00FF10BC">
        <w:rPr>
          <w:rFonts w:eastAsia="Times New Roman" w:cstheme="minorHAnsi"/>
          <w:color w:val="222222"/>
        </w:rPr>
        <w:t>have expressed their desire for students to engage in intentional, integrative learning experiences. However, the desirability of this goal is not matched by faculty enthusiasm</w:t>
      </w:r>
      <w:r w:rsidR="00C4577C" w:rsidRPr="00FF10BC">
        <w:rPr>
          <w:rFonts w:eastAsia="Times New Roman" w:cstheme="minorHAnsi"/>
          <w:color w:val="222222"/>
        </w:rPr>
        <w:t xml:space="preserve"> for</w:t>
      </w:r>
      <w:r w:rsidRPr="00FF10BC">
        <w:rPr>
          <w:rFonts w:eastAsia="Times New Roman" w:cstheme="minorHAnsi"/>
          <w:color w:val="222222"/>
        </w:rPr>
        <w:t xml:space="preserve"> or ability to </w:t>
      </w:r>
      <w:r w:rsidR="00C4577C" w:rsidRPr="00FF10BC">
        <w:rPr>
          <w:rFonts w:eastAsia="Times New Roman" w:cstheme="minorHAnsi"/>
          <w:color w:val="222222"/>
        </w:rPr>
        <w:t>offer Learning Community classes</w:t>
      </w:r>
      <w:r w:rsidRPr="00FF10BC">
        <w:rPr>
          <w:rFonts w:eastAsia="Times New Roman" w:cstheme="minorHAnsi"/>
          <w:color w:val="222222"/>
        </w:rPr>
        <w:t xml:space="preserve">. </w:t>
      </w:r>
      <w:r w:rsidR="009B077A" w:rsidRPr="00FF10BC">
        <w:rPr>
          <w:rFonts w:eastAsia="Times New Roman" w:cstheme="minorHAnsi"/>
          <w:color w:val="222222"/>
        </w:rPr>
        <w:t xml:space="preserve">Since 2005, we have had trouble offering enough LCs for our students; even after significantly expanding the definition of LCs in 2009, we are now offering only the </w:t>
      </w:r>
      <w:r w:rsidR="00F41EEE" w:rsidRPr="00FF10BC">
        <w:rPr>
          <w:rFonts w:eastAsia="Times New Roman" w:cstheme="minorHAnsi"/>
          <w:color w:val="222222"/>
        </w:rPr>
        <w:t xml:space="preserve">minimum </w:t>
      </w:r>
      <w:r w:rsidR="009B077A" w:rsidRPr="00FF10BC">
        <w:rPr>
          <w:rFonts w:eastAsia="Times New Roman" w:cstheme="minorHAnsi"/>
          <w:color w:val="222222"/>
        </w:rPr>
        <w:t xml:space="preserve">courses needed for our seniors to meet this requirement. LC classes will not become easier to offer with the reduction of both student and teaching course loads. </w:t>
      </w:r>
      <w:r w:rsidR="00F41EEE" w:rsidRPr="00FF10BC">
        <w:rPr>
          <w:rFonts w:eastAsia="Times New Roman" w:cstheme="minorHAnsi"/>
          <w:color w:val="222222"/>
        </w:rPr>
        <w:t>W</w:t>
      </w:r>
      <w:r w:rsidR="009B077A" w:rsidRPr="00FF10BC">
        <w:rPr>
          <w:rFonts w:eastAsia="Times New Roman" w:cstheme="minorHAnsi"/>
          <w:color w:val="222222"/>
        </w:rPr>
        <w:t xml:space="preserve">e </w:t>
      </w:r>
      <w:r w:rsidR="00F41EEE" w:rsidRPr="00FF10BC">
        <w:rPr>
          <w:rFonts w:eastAsia="Times New Roman" w:cstheme="minorHAnsi"/>
          <w:color w:val="222222"/>
        </w:rPr>
        <w:t xml:space="preserve">simply </w:t>
      </w:r>
      <w:r w:rsidR="009B077A" w:rsidRPr="00FF10BC">
        <w:rPr>
          <w:rFonts w:eastAsia="Times New Roman" w:cstheme="minorHAnsi"/>
          <w:color w:val="222222"/>
        </w:rPr>
        <w:t>can’t continue to require something that we are not providing for students.</w:t>
      </w:r>
    </w:p>
    <w:p w:rsidR="00327B3B" w:rsidRPr="00FF10BC" w:rsidRDefault="00327B3B" w:rsidP="0050086B">
      <w:pPr>
        <w:ind w:left="0"/>
        <w:rPr>
          <w:rFonts w:eastAsia="Times New Roman" w:cstheme="minorHAnsi"/>
          <w:color w:val="222222"/>
        </w:rPr>
      </w:pPr>
    </w:p>
    <w:p w:rsidR="00F41EEE" w:rsidRPr="00FF10BC" w:rsidRDefault="00F5431C" w:rsidP="0050086B">
      <w:pPr>
        <w:ind w:left="0"/>
        <w:rPr>
          <w:rFonts w:eastAsia="Times New Roman" w:cstheme="minorHAnsi"/>
          <w:color w:val="222222"/>
        </w:rPr>
      </w:pPr>
      <w:r>
        <w:rPr>
          <w:rFonts w:eastAsia="Times New Roman" w:cstheme="minorHAnsi"/>
          <w:color w:val="222222"/>
        </w:rPr>
        <w:t xml:space="preserve">Further, </w:t>
      </w:r>
      <w:r w:rsidR="00FF10BC">
        <w:rPr>
          <w:rFonts w:eastAsia="Times New Roman" w:cstheme="minorHAnsi"/>
          <w:color w:val="222222"/>
        </w:rPr>
        <w:t xml:space="preserve">the charge to the Gen Ed Committee specified that AGES take up no more than a third of the credits </w:t>
      </w:r>
      <w:r w:rsidR="00F41EEE" w:rsidRPr="00FF10BC">
        <w:rPr>
          <w:rFonts w:eastAsia="Times New Roman" w:cstheme="minorHAnsi"/>
          <w:color w:val="222222"/>
        </w:rPr>
        <w:t>require</w:t>
      </w:r>
      <w:r w:rsidR="00FF10BC">
        <w:rPr>
          <w:rFonts w:eastAsia="Times New Roman" w:cstheme="minorHAnsi"/>
          <w:color w:val="222222"/>
        </w:rPr>
        <w:t>d for graduation in ord</w:t>
      </w:r>
      <w:r>
        <w:rPr>
          <w:rFonts w:eastAsia="Times New Roman" w:cstheme="minorHAnsi"/>
          <w:color w:val="222222"/>
        </w:rPr>
        <w:t>er to accommodate double majors; w</w:t>
      </w:r>
      <w:r w:rsidR="00F41EEE" w:rsidRPr="00FF10BC">
        <w:rPr>
          <w:rFonts w:eastAsia="Times New Roman" w:cstheme="minorHAnsi"/>
          <w:color w:val="222222"/>
        </w:rPr>
        <w:t>e cannot include an additional course-based r</w:t>
      </w:r>
      <w:r w:rsidR="00FF10BC">
        <w:rPr>
          <w:rFonts w:eastAsia="Times New Roman" w:cstheme="minorHAnsi"/>
          <w:color w:val="222222"/>
        </w:rPr>
        <w:t xml:space="preserve">equirement without </w:t>
      </w:r>
      <w:r w:rsidR="00BE6A19">
        <w:rPr>
          <w:rFonts w:eastAsia="Times New Roman" w:cstheme="minorHAnsi"/>
          <w:color w:val="222222"/>
        </w:rPr>
        <w:t>compromising that agreement</w:t>
      </w:r>
      <w:r w:rsidR="00F41EEE" w:rsidRPr="00FF10BC">
        <w:rPr>
          <w:rFonts w:eastAsia="Times New Roman" w:cstheme="minorHAnsi"/>
          <w:color w:val="222222"/>
        </w:rPr>
        <w:t xml:space="preserve">. </w:t>
      </w:r>
    </w:p>
    <w:p w:rsidR="00F41EEE" w:rsidRPr="00FF10BC" w:rsidRDefault="00F41EEE" w:rsidP="0050086B">
      <w:pPr>
        <w:ind w:left="0"/>
        <w:rPr>
          <w:rFonts w:eastAsia="Times New Roman" w:cstheme="minorHAnsi"/>
          <w:color w:val="222222"/>
        </w:rPr>
      </w:pPr>
    </w:p>
    <w:p w:rsidR="00F41EEE" w:rsidRPr="00FF10BC" w:rsidRDefault="00F41EEE" w:rsidP="0050086B">
      <w:pPr>
        <w:ind w:left="0"/>
        <w:rPr>
          <w:rFonts w:eastAsia="Times New Roman" w:cstheme="minorHAnsi"/>
          <w:color w:val="222222"/>
        </w:rPr>
      </w:pPr>
      <w:r w:rsidRPr="00FF10BC">
        <w:rPr>
          <w:rFonts w:eastAsia="Times New Roman" w:cstheme="minorHAnsi"/>
          <w:color w:val="222222"/>
        </w:rPr>
        <w:t>Should the faculty wish to continue offering Learning Communities under the 4-1-4 calendar, they are welcome to offer an amendment to this proposal. If such an amendment passes, the General Educ</w:t>
      </w:r>
      <w:r w:rsidR="00773877" w:rsidRPr="00FF10BC">
        <w:rPr>
          <w:rFonts w:eastAsia="Times New Roman" w:cstheme="minorHAnsi"/>
          <w:color w:val="222222"/>
        </w:rPr>
        <w:t>ation Committee recommends three</w:t>
      </w:r>
      <w:r w:rsidRPr="00FF10BC">
        <w:rPr>
          <w:rFonts w:eastAsia="Times New Roman" w:cstheme="minorHAnsi"/>
          <w:color w:val="222222"/>
        </w:rPr>
        <w:t xml:space="preserve"> things:</w:t>
      </w:r>
    </w:p>
    <w:p w:rsidR="00F41EEE" w:rsidRPr="00FF10BC" w:rsidRDefault="00F41EEE" w:rsidP="0050086B">
      <w:pPr>
        <w:ind w:left="0"/>
        <w:rPr>
          <w:rFonts w:eastAsia="Times New Roman" w:cstheme="minorHAnsi"/>
          <w:color w:val="222222"/>
        </w:rPr>
      </w:pPr>
    </w:p>
    <w:p w:rsidR="00F41EEE" w:rsidRPr="00FF10BC" w:rsidRDefault="00F41EEE" w:rsidP="00F41EEE">
      <w:pPr>
        <w:pStyle w:val="ListParagraph"/>
        <w:numPr>
          <w:ilvl w:val="0"/>
          <w:numId w:val="1"/>
        </w:numPr>
        <w:rPr>
          <w:rFonts w:eastAsia="Times New Roman" w:cstheme="minorHAnsi"/>
          <w:color w:val="222222"/>
        </w:rPr>
      </w:pPr>
      <w:r w:rsidRPr="00FF10BC">
        <w:rPr>
          <w:rFonts w:eastAsia="Times New Roman" w:cstheme="minorHAnsi"/>
          <w:color w:val="222222"/>
        </w:rPr>
        <w:t xml:space="preserve">That this proposal reflects the amended Gen Ed footprint: </w:t>
      </w:r>
    </w:p>
    <w:p w:rsidR="00F41EEE" w:rsidRPr="00FF10BC" w:rsidRDefault="00F41EEE" w:rsidP="001D1F62">
      <w:pPr>
        <w:pStyle w:val="ListParagraph"/>
        <w:rPr>
          <w:rFonts w:eastAsia="Times New Roman" w:cstheme="minorHAnsi"/>
          <w:color w:val="222222"/>
        </w:rPr>
      </w:pPr>
    </w:p>
    <w:tbl>
      <w:tblPr>
        <w:tblStyle w:val="TableGrid"/>
        <w:tblW w:w="0" w:type="auto"/>
        <w:tblLook w:val="04A0" w:firstRow="1" w:lastRow="0" w:firstColumn="1" w:lastColumn="0" w:noHBand="0" w:noVBand="1"/>
      </w:tblPr>
      <w:tblGrid>
        <w:gridCol w:w="6588"/>
        <w:gridCol w:w="1890"/>
      </w:tblGrid>
      <w:tr w:rsidR="00F41EEE" w:rsidRPr="00FF10BC" w:rsidTr="00F41EEE">
        <w:tc>
          <w:tcPr>
            <w:tcW w:w="6588" w:type="dxa"/>
          </w:tcPr>
          <w:p w:rsidR="00F41EEE" w:rsidRPr="00FF10BC" w:rsidRDefault="00F41EEE" w:rsidP="001D1F62">
            <w:pPr>
              <w:rPr>
                <w:rFonts w:cstheme="minorHAnsi"/>
                <w:b/>
              </w:rPr>
            </w:pPr>
            <w:r w:rsidRPr="00FF10BC">
              <w:rPr>
                <w:rFonts w:cstheme="minorHAnsi"/>
                <w:b/>
                <w:u w:val="single"/>
              </w:rPr>
              <w:t>Maximum</w:t>
            </w:r>
            <w:r w:rsidRPr="00FF10BC">
              <w:rPr>
                <w:rFonts w:cstheme="minorHAnsi"/>
                <w:b/>
              </w:rPr>
              <w:t xml:space="preserve"> course claim on BA</w:t>
            </w:r>
          </w:p>
        </w:tc>
        <w:tc>
          <w:tcPr>
            <w:tcW w:w="1890" w:type="dxa"/>
          </w:tcPr>
          <w:p w:rsidR="00F41EEE" w:rsidRPr="00FF10BC" w:rsidRDefault="00F41EEE" w:rsidP="001D1F62">
            <w:pPr>
              <w:rPr>
                <w:rFonts w:cstheme="minorHAnsi"/>
                <w:b/>
              </w:rPr>
            </w:pPr>
            <w:r w:rsidRPr="00FF10BC">
              <w:rPr>
                <w:rFonts w:cstheme="minorHAnsi"/>
                <w:b/>
              </w:rPr>
              <w:t>15 (43% of BA)</w:t>
            </w:r>
          </w:p>
        </w:tc>
      </w:tr>
      <w:tr w:rsidR="00F41EEE" w:rsidRPr="00FF10BC" w:rsidTr="00F41EEE">
        <w:tc>
          <w:tcPr>
            <w:tcW w:w="6588" w:type="dxa"/>
          </w:tcPr>
          <w:p w:rsidR="00F41EEE" w:rsidRPr="00FF10BC" w:rsidRDefault="00F41EEE" w:rsidP="001D1F62">
            <w:pPr>
              <w:rPr>
                <w:rFonts w:cstheme="minorHAnsi"/>
                <w:b/>
              </w:rPr>
            </w:pPr>
            <w:r w:rsidRPr="00FF10BC">
              <w:rPr>
                <w:rFonts w:cstheme="minorHAnsi"/>
                <w:b/>
                <w:u w:val="single"/>
              </w:rPr>
              <w:t>Likely</w:t>
            </w:r>
            <w:r w:rsidRPr="00FF10BC">
              <w:rPr>
                <w:rFonts w:cstheme="minorHAnsi"/>
                <w:b/>
              </w:rPr>
              <w:t xml:space="preserve"> course claim on BA</w:t>
            </w:r>
          </w:p>
        </w:tc>
        <w:tc>
          <w:tcPr>
            <w:tcW w:w="1890" w:type="dxa"/>
          </w:tcPr>
          <w:p w:rsidR="00F41EEE" w:rsidRPr="00FF10BC" w:rsidRDefault="00F41EEE" w:rsidP="001D1F62">
            <w:pPr>
              <w:rPr>
                <w:rFonts w:cstheme="minorHAnsi"/>
                <w:b/>
              </w:rPr>
            </w:pPr>
            <w:r w:rsidRPr="00FF10BC">
              <w:rPr>
                <w:rFonts w:cstheme="minorHAnsi"/>
                <w:b/>
              </w:rPr>
              <w:t>13 (37% of BA)</w:t>
            </w:r>
          </w:p>
        </w:tc>
      </w:tr>
    </w:tbl>
    <w:p w:rsidR="00F41EEE" w:rsidRPr="00FF10BC" w:rsidRDefault="00F41EEE" w:rsidP="00F41EEE">
      <w:pPr>
        <w:pStyle w:val="ListParagraph"/>
        <w:rPr>
          <w:rFonts w:eastAsia="Times New Roman" w:cstheme="minorHAnsi"/>
          <w:color w:val="222222"/>
        </w:rPr>
      </w:pPr>
    </w:p>
    <w:p w:rsidR="00773877" w:rsidRPr="00FF10BC" w:rsidRDefault="00F41EEE" w:rsidP="00F41EEE">
      <w:pPr>
        <w:pStyle w:val="ListParagraph"/>
        <w:numPr>
          <w:ilvl w:val="0"/>
          <w:numId w:val="1"/>
        </w:numPr>
        <w:rPr>
          <w:rFonts w:eastAsia="Times New Roman" w:cstheme="minorHAnsi"/>
          <w:color w:val="222222"/>
        </w:rPr>
      </w:pPr>
      <w:r w:rsidRPr="00FF10BC">
        <w:rPr>
          <w:rFonts w:eastAsia="Times New Roman" w:cstheme="minorHAnsi"/>
          <w:color w:val="222222"/>
        </w:rPr>
        <w:t>That the requirement is expanded to include a 2 credit + 2 credit option that can be taught during J term</w:t>
      </w:r>
      <w:r w:rsidR="00773877" w:rsidRPr="00FF10BC">
        <w:rPr>
          <w:rFonts w:eastAsia="Times New Roman" w:cstheme="minorHAnsi"/>
          <w:color w:val="222222"/>
        </w:rPr>
        <w:t xml:space="preserve">, and </w:t>
      </w:r>
    </w:p>
    <w:p w:rsidR="00F41EEE" w:rsidRPr="00FF10BC" w:rsidRDefault="001D1F62" w:rsidP="00F41EEE">
      <w:pPr>
        <w:pStyle w:val="ListParagraph"/>
        <w:numPr>
          <w:ilvl w:val="0"/>
          <w:numId w:val="1"/>
        </w:numPr>
        <w:rPr>
          <w:rFonts w:eastAsia="Times New Roman" w:cstheme="minorHAnsi"/>
          <w:color w:val="222222"/>
        </w:rPr>
      </w:pPr>
      <w:r w:rsidRPr="00FF10BC">
        <w:rPr>
          <w:rFonts w:eastAsia="Times New Roman" w:cstheme="minorHAnsi"/>
          <w:color w:val="222222"/>
        </w:rPr>
        <w:t>That t</w:t>
      </w:r>
      <w:r w:rsidR="00773877" w:rsidRPr="00FF10BC">
        <w:rPr>
          <w:rFonts w:eastAsia="Times New Roman" w:cstheme="minorHAnsi"/>
          <w:color w:val="222222"/>
        </w:rPr>
        <w:t>he Gen Ed Committee is charged with exploring other ways to offer and assess integrative learning experiences.</w:t>
      </w:r>
    </w:p>
    <w:p w:rsidR="00327B3B" w:rsidRPr="00FF10BC" w:rsidRDefault="00327B3B" w:rsidP="0050086B">
      <w:pPr>
        <w:ind w:left="0"/>
        <w:rPr>
          <w:rFonts w:eastAsia="Times New Roman" w:cstheme="minorHAnsi"/>
          <w:color w:val="222222"/>
        </w:rPr>
      </w:pPr>
    </w:p>
    <w:p w:rsidR="00056896" w:rsidRPr="00FF10BC" w:rsidRDefault="00056896" w:rsidP="0050086B">
      <w:pPr>
        <w:ind w:left="0"/>
        <w:rPr>
          <w:rFonts w:eastAsia="Times New Roman" w:cstheme="minorHAnsi"/>
          <w:color w:val="222222"/>
        </w:rPr>
      </w:pPr>
    </w:p>
    <w:p w:rsidR="0050086B" w:rsidRPr="00FF10BC" w:rsidRDefault="0050086B" w:rsidP="0050086B">
      <w:pPr>
        <w:rPr>
          <w:rFonts w:cstheme="minorHAnsi"/>
        </w:rPr>
      </w:pPr>
    </w:p>
    <w:sectPr w:rsidR="0050086B" w:rsidRPr="00FF10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DA" w:rsidRDefault="00424BDA" w:rsidP="00BB73D7">
      <w:r>
        <w:separator/>
      </w:r>
    </w:p>
  </w:endnote>
  <w:endnote w:type="continuationSeparator" w:id="0">
    <w:p w:rsidR="00424BDA" w:rsidRDefault="00424BDA" w:rsidP="00BB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83218"/>
      <w:docPartObj>
        <w:docPartGallery w:val="Page Numbers (Bottom of Page)"/>
        <w:docPartUnique/>
      </w:docPartObj>
    </w:sdtPr>
    <w:sdtEndPr>
      <w:rPr>
        <w:noProof/>
      </w:rPr>
    </w:sdtEndPr>
    <w:sdtContent>
      <w:p w:rsidR="00F41EEE" w:rsidRDefault="00F41EEE">
        <w:pPr>
          <w:pStyle w:val="Footer"/>
          <w:jc w:val="right"/>
        </w:pPr>
        <w:r>
          <w:fldChar w:fldCharType="begin"/>
        </w:r>
        <w:r>
          <w:instrText xml:space="preserve"> PAGE   \* MERGEFORMAT </w:instrText>
        </w:r>
        <w:r>
          <w:fldChar w:fldCharType="separate"/>
        </w:r>
        <w:r w:rsidR="00877F80">
          <w:rPr>
            <w:noProof/>
          </w:rPr>
          <w:t>1</w:t>
        </w:r>
        <w:r>
          <w:rPr>
            <w:noProof/>
          </w:rPr>
          <w:fldChar w:fldCharType="end"/>
        </w:r>
      </w:p>
    </w:sdtContent>
  </w:sdt>
  <w:p w:rsidR="00F41EEE" w:rsidRDefault="00F4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DA" w:rsidRDefault="00424BDA" w:rsidP="00BB73D7">
      <w:r>
        <w:separator/>
      </w:r>
    </w:p>
  </w:footnote>
  <w:footnote w:type="continuationSeparator" w:id="0">
    <w:p w:rsidR="00424BDA" w:rsidRDefault="00424BDA" w:rsidP="00BB7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408B"/>
    <w:multiLevelType w:val="hybridMultilevel"/>
    <w:tmpl w:val="AAE6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7A"/>
    <w:rsid w:val="00000CBD"/>
    <w:rsid w:val="00056896"/>
    <w:rsid w:val="000F30EF"/>
    <w:rsid w:val="00147668"/>
    <w:rsid w:val="00175EFF"/>
    <w:rsid w:val="001D1F62"/>
    <w:rsid w:val="001E406F"/>
    <w:rsid w:val="00236E85"/>
    <w:rsid w:val="00283846"/>
    <w:rsid w:val="002D61E4"/>
    <w:rsid w:val="00317C34"/>
    <w:rsid w:val="00327B3B"/>
    <w:rsid w:val="00401939"/>
    <w:rsid w:val="004043C5"/>
    <w:rsid w:val="00424BDA"/>
    <w:rsid w:val="0050086B"/>
    <w:rsid w:val="005A3793"/>
    <w:rsid w:val="006F6B08"/>
    <w:rsid w:val="00773877"/>
    <w:rsid w:val="00877F80"/>
    <w:rsid w:val="0090176A"/>
    <w:rsid w:val="009B077A"/>
    <w:rsid w:val="009F7DB9"/>
    <w:rsid w:val="00A34CFA"/>
    <w:rsid w:val="00AB730B"/>
    <w:rsid w:val="00AE0F52"/>
    <w:rsid w:val="00B64109"/>
    <w:rsid w:val="00BB73D7"/>
    <w:rsid w:val="00BE6A19"/>
    <w:rsid w:val="00C4577C"/>
    <w:rsid w:val="00DB2032"/>
    <w:rsid w:val="00DF0A85"/>
    <w:rsid w:val="00EA4CFD"/>
    <w:rsid w:val="00F41EEE"/>
    <w:rsid w:val="00F46038"/>
    <w:rsid w:val="00F5431C"/>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77A"/>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77A"/>
  </w:style>
  <w:style w:type="character" w:customStyle="1" w:styleId="apple-style-span">
    <w:name w:val="apple-style-span"/>
    <w:basedOn w:val="DefaultParagraphFont"/>
    <w:rsid w:val="00147668"/>
  </w:style>
  <w:style w:type="paragraph" w:styleId="Header">
    <w:name w:val="header"/>
    <w:basedOn w:val="Normal"/>
    <w:link w:val="HeaderChar"/>
    <w:uiPriority w:val="99"/>
    <w:unhideWhenUsed/>
    <w:rsid w:val="00BB73D7"/>
    <w:pPr>
      <w:tabs>
        <w:tab w:val="center" w:pos="4680"/>
        <w:tab w:val="right" w:pos="9360"/>
      </w:tabs>
    </w:pPr>
  </w:style>
  <w:style w:type="character" w:customStyle="1" w:styleId="HeaderChar">
    <w:name w:val="Header Char"/>
    <w:basedOn w:val="DefaultParagraphFont"/>
    <w:link w:val="Header"/>
    <w:uiPriority w:val="99"/>
    <w:rsid w:val="00BB73D7"/>
  </w:style>
  <w:style w:type="paragraph" w:styleId="Footer">
    <w:name w:val="footer"/>
    <w:basedOn w:val="Normal"/>
    <w:link w:val="FooterChar"/>
    <w:uiPriority w:val="99"/>
    <w:unhideWhenUsed/>
    <w:rsid w:val="00BB73D7"/>
    <w:pPr>
      <w:tabs>
        <w:tab w:val="center" w:pos="4680"/>
        <w:tab w:val="right" w:pos="9360"/>
      </w:tabs>
    </w:pPr>
  </w:style>
  <w:style w:type="character" w:customStyle="1" w:styleId="FooterChar">
    <w:name w:val="Footer Char"/>
    <w:basedOn w:val="DefaultParagraphFont"/>
    <w:link w:val="Footer"/>
    <w:uiPriority w:val="99"/>
    <w:rsid w:val="00BB73D7"/>
  </w:style>
  <w:style w:type="table" w:styleId="TableGrid">
    <w:name w:val="Table Grid"/>
    <w:basedOn w:val="TableNormal"/>
    <w:uiPriority w:val="59"/>
    <w:rsid w:val="00AB730B"/>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77A"/>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77A"/>
  </w:style>
  <w:style w:type="character" w:customStyle="1" w:styleId="apple-style-span">
    <w:name w:val="apple-style-span"/>
    <w:basedOn w:val="DefaultParagraphFont"/>
    <w:rsid w:val="00147668"/>
  </w:style>
  <w:style w:type="paragraph" w:styleId="Header">
    <w:name w:val="header"/>
    <w:basedOn w:val="Normal"/>
    <w:link w:val="HeaderChar"/>
    <w:uiPriority w:val="99"/>
    <w:unhideWhenUsed/>
    <w:rsid w:val="00BB73D7"/>
    <w:pPr>
      <w:tabs>
        <w:tab w:val="center" w:pos="4680"/>
        <w:tab w:val="right" w:pos="9360"/>
      </w:tabs>
    </w:pPr>
  </w:style>
  <w:style w:type="character" w:customStyle="1" w:styleId="HeaderChar">
    <w:name w:val="Header Char"/>
    <w:basedOn w:val="DefaultParagraphFont"/>
    <w:link w:val="Header"/>
    <w:uiPriority w:val="99"/>
    <w:rsid w:val="00BB73D7"/>
  </w:style>
  <w:style w:type="paragraph" w:styleId="Footer">
    <w:name w:val="footer"/>
    <w:basedOn w:val="Normal"/>
    <w:link w:val="FooterChar"/>
    <w:uiPriority w:val="99"/>
    <w:unhideWhenUsed/>
    <w:rsid w:val="00BB73D7"/>
    <w:pPr>
      <w:tabs>
        <w:tab w:val="center" w:pos="4680"/>
        <w:tab w:val="right" w:pos="9360"/>
      </w:tabs>
    </w:pPr>
  </w:style>
  <w:style w:type="character" w:customStyle="1" w:styleId="FooterChar">
    <w:name w:val="Footer Char"/>
    <w:basedOn w:val="DefaultParagraphFont"/>
    <w:link w:val="Footer"/>
    <w:uiPriority w:val="99"/>
    <w:rsid w:val="00BB73D7"/>
  </w:style>
  <w:style w:type="table" w:styleId="TableGrid">
    <w:name w:val="Table Grid"/>
    <w:basedOn w:val="TableNormal"/>
    <w:uiPriority w:val="59"/>
    <w:rsid w:val="00AB730B"/>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3557">
      <w:bodyDiv w:val="1"/>
      <w:marLeft w:val="0"/>
      <w:marRight w:val="0"/>
      <w:marTop w:val="0"/>
      <w:marBottom w:val="0"/>
      <w:divBdr>
        <w:top w:val="none" w:sz="0" w:space="0" w:color="auto"/>
        <w:left w:val="none" w:sz="0" w:space="0" w:color="auto"/>
        <w:bottom w:val="none" w:sz="0" w:space="0" w:color="auto"/>
        <w:right w:val="none" w:sz="0" w:space="0" w:color="auto"/>
      </w:divBdr>
    </w:div>
    <w:div w:id="747461102">
      <w:bodyDiv w:val="1"/>
      <w:marLeft w:val="0"/>
      <w:marRight w:val="0"/>
      <w:marTop w:val="0"/>
      <w:marBottom w:val="0"/>
      <w:divBdr>
        <w:top w:val="none" w:sz="0" w:space="0" w:color="auto"/>
        <w:left w:val="none" w:sz="0" w:space="0" w:color="auto"/>
        <w:bottom w:val="none" w:sz="0" w:space="0" w:color="auto"/>
        <w:right w:val="none" w:sz="0" w:space="0" w:color="auto"/>
      </w:divBdr>
    </w:div>
    <w:div w:id="753823831">
      <w:bodyDiv w:val="1"/>
      <w:marLeft w:val="0"/>
      <w:marRight w:val="0"/>
      <w:marTop w:val="0"/>
      <w:marBottom w:val="0"/>
      <w:divBdr>
        <w:top w:val="none" w:sz="0" w:space="0" w:color="auto"/>
        <w:left w:val="none" w:sz="0" w:space="0" w:color="auto"/>
        <w:bottom w:val="none" w:sz="0" w:space="0" w:color="auto"/>
        <w:right w:val="none" w:sz="0" w:space="0" w:color="auto"/>
      </w:divBdr>
      <w:divsChild>
        <w:div w:id="1591549882">
          <w:marLeft w:val="0"/>
          <w:marRight w:val="0"/>
          <w:marTop w:val="0"/>
          <w:marBottom w:val="0"/>
          <w:divBdr>
            <w:top w:val="none" w:sz="0" w:space="0" w:color="auto"/>
            <w:left w:val="none" w:sz="0" w:space="0" w:color="auto"/>
            <w:bottom w:val="none" w:sz="0" w:space="0" w:color="auto"/>
            <w:right w:val="none" w:sz="0" w:space="0" w:color="auto"/>
          </w:divBdr>
        </w:div>
        <w:div w:id="1176655869">
          <w:marLeft w:val="0"/>
          <w:marRight w:val="0"/>
          <w:marTop w:val="0"/>
          <w:marBottom w:val="0"/>
          <w:divBdr>
            <w:top w:val="none" w:sz="0" w:space="0" w:color="auto"/>
            <w:left w:val="none" w:sz="0" w:space="0" w:color="auto"/>
            <w:bottom w:val="none" w:sz="0" w:space="0" w:color="auto"/>
            <w:right w:val="none" w:sz="0" w:space="0" w:color="auto"/>
          </w:divBdr>
        </w:div>
      </w:divsChild>
    </w:div>
    <w:div w:id="989141546">
      <w:bodyDiv w:val="1"/>
      <w:marLeft w:val="0"/>
      <w:marRight w:val="0"/>
      <w:marTop w:val="0"/>
      <w:marBottom w:val="0"/>
      <w:divBdr>
        <w:top w:val="none" w:sz="0" w:space="0" w:color="auto"/>
        <w:left w:val="none" w:sz="0" w:space="0" w:color="auto"/>
        <w:bottom w:val="none" w:sz="0" w:space="0" w:color="auto"/>
        <w:right w:val="none" w:sz="0" w:space="0" w:color="auto"/>
      </w:divBdr>
      <w:divsChild>
        <w:div w:id="1864394060">
          <w:marLeft w:val="0"/>
          <w:marRight w:val="0"/>
          <w:marTop w:val="0"/>
          <w:marBottom w:val="0"/>
          <w:divBdr>
            <w:top w:val="none" w:sz="0" w:space="0" w:color="auto"/>
            <w:left w:val="none" w:sz="0" w:space="0" w:color="auto"/>
            <w:bottom w:val="none" w:sz="0" w:space="0" w:color="auto"/>
            <w:right w:val="none" w:sz="0" w:space="0" w:color="auto"/>
          </w:divBdr>
        </w:div>
        <w:div w:id="854465450">
          <w:marLeft w:val="0"/>
          <w:marRight w:val="0"/>
          <w:marTop w:val="0"/>
          <w:marBottom w:val="0"/>
          <w:divBdr>
            <w:top w:val="none" w:sz="0" w:space="0" w:color="auto"/>
            <w:left w:val="none" w:sz="0" w:space="0" w:color="auto"/>
            <w:bottom w:val="none" w:sz="0" w:space="0" w:color="auto"/>
            <w:right w:val="none" w:sz="0" w:space="0" w:color="auto"/>
          </w:divBdr>
        </w:div>
        <w:div w:id="1654065758">
          <w:marLeft w:val="0"/>
          <w:marRight w:val="0"/>
          <w:marTop w:val="0"/>
          <w:marBottom w:val="0"/>
          <w:divBdr>
            <w:top w:val="none" w:sz="0" w:space="0" w:color="auto"/>
            <w:left w:val="none" w:sz="0" w:space="0" w:color="auto"/>
            <w:bottom w:val="none" w:sz="0" w:space="0" w:color="auto"/>
            <w:right w:val="none" w:sz="0" w:space="0" w:color="auto"/>
          </w:divBdr>
        </w:div>
        <w:div w:id="1082526465">
          <w:marLeft w:val="0"/>
          <w:marRight w:val="0"/>
          <w:marTop w:val="0"/>
          <w:marBottom w:val="0"/>
          <w:divBdr>
            <w:top w:val="none" w:sz="0" w:space="0" w:color="auto"/>
            <w:left w:val="none" w:sz="0" w:space="0" w:color="auto"/>
            <w:bottom w:val="none" w:sz="0" w:space="0" w:color="auto"/>
            <w:right w:val="none" w:sz="0" w:space="0" w:color="auto"/>
          </w:divBdr>
        </w:div>
        <w:div w:id="996614729">
          <w:marLeft w:val="0"/>
          <w:marRight w:val="0"/>
          <w:marTop w:val="0"/>
          <w:marBottom w:val="0"/>
          <w:divBdr>
            <w:top w:val="none" w:sz="0" w:space="0" w:color="auto"/>
            <w:left w:val="none" w:sz="0" w:space="0" w:color="auto"/>
            <w:bottom w:val="none" w:sz="0" w:space="0" w:color="auto"/>
            <w:right w:val="none" w:sz="0" w:space="0" w:color="auto"/>
          </w:divBdr>
        </w:div>
        <w:div w:id="1368413306">
          <w:marLeft w:val="0"/>
          <w:marRight w:val="0"/>
          <w:marTop w:val="0"/>
          <w:marBottom w:val="0"/>
          <w:divBdr>
            <w:top w:val="none" w:sz="0" w:space="0" w:color="auto"/>
            <w:left w:val="none" w:sz="0" w:space="0" w:color="auto"/>
            <w:bottom w:val="none" w:sz="0" w:space="0" w:color="auto"/>
            <w:right w:val="none" w:sz="0" w:space="0" w:color="auto"/>
          </w:divBdr>
        </w:div>
        <w:div w:id="2143688876">
          <w:marLeft w:val="0"/>
          <w:marRight w:val="0"/>
          <w:marTop w:val="0"/>
          <w:marBottom w:val="0"/>
          <w:divBdr>
            <w:top w:val="none" w:sz="0" w:space="0" w:color="auto"/>
            <w:left w:val="none" w:sz="0" w:space="0" w:color="auto"/>
            <w:bottom w:val="none" w:sz="0" w:space="0" w:color="auto"/>
            <w:right w:val="none" w:sz="0" w:space="0" w:color="auto"/>
          </w:divBdr>
        </w:div>
        <w:div w:id="408767288">
          <w:marLeft w:val="0"/>
          <w:marRight w:val="0"/>
          <w:marTop w:val="0"/>
          <w:marBottom w:val="0"/>
          <w:divBdr>
            <w:top w:val="none" w:sz="0" w:space="0" w:color="auto"/>
            <w:left w:val="none" w:sz="0" w:space="0" w:color="auto"/>
            <w:bottom w:val="none" w:sz="0" w:space="0" w:color="auto"/>
            <w:right w:val="none" w:sz="0" w:space="0" w:color="auto"/>
          </w:divBdr>
        </w:div>
        <w:div w:id="1390610778">
          <w:marLeft w:val="0"/>
          <w:marRight w:val="0"/>
          <w:marTop w:val="0"/>
          <w:marBottom w:val="0"/>
          <w:divBdr>
            <w:top w:val="none" w:sz="0" w:space="0" w:color="auto"/>
            <w:left w:val="none" w:sz="0" w:space="0" w:color="auto"/>
            <w:bottom w:val="none" w:sz="0" w:space="0" w:color="auto"/>
            <w:right w:val="none" w:sz="0" w:space="0" w:color="auto"/>
          </w:divBdr>
        </w:div>
        <w:div w:id="1465344256">
          <w:marLeft w:val="0"/>
          <w:marRight w:val="0"/>
          <w:marTop w:val="0"/>
          <w:marBottom w:val="0"/>
          <w:divBdr>
            <w:top w:val="none" w:sz="0" w:space="0" w:color="auto"/>
            <w:left w:val="none" w:sz="0" w:space="0" w:color="auto"/>
            <w:bottom w:val="none" w:sz="0" w:space="0" w:color="auto"/>
            <w:right w:val="none" w:sz="0" w:space="0" w:color="auto"/>
          </w:divBdr>
        </w:div>
        <w:div w:id="1406535390">
          <w:marLeft w:val="0"/>
          <w:marRight w:val="0"/>
          <w:marTop w:val="0"/>
          <w:marBottom w:val="0"/>
          <w:divBdr>
            <w:top w:val="none" w:sz="0" w:space="0" w:color="auto"/>
            <w:left w:val="none" w:sz="0" w:space="0" w:color="auto"/>
            <w:bottom w:val="none" w:sz="0" w:space="0" w:color="auto"/>
            <w:right w:val="none" w:sz="0" w:space="0" w:color="auto"/>
          </w:divBdr>
        </w:div>
        <w:div w:id="2000114128">
          <w:marLeft w:val="0"/>
          <w:marRight w:val="0"/>
          <w:marTop w:val="0"/>
          <w:marBottom w:val="0"/>
          <w:divBdr>
            <w:top w:val="none" w:sz="0" w:space="0" w:color="auto"/>
            <w:left w:val="none" w:sz="0" w:space="0" w:color="auto"/>
            <w:bottom w:val="none" w:sz="0" w:space="0" w:color="auto"/>
            <w:right w:val="none" w:sz="0" w:space="0" w:color="auto"/>
          </w:divBdr>
        </w:div>
        <w:div w:id="970329248">
          <w:marLeft w:val="0"/>
          <w:marRight w:val="0"/>
          <w:marTop w:val="0"/>
          <w:marBottom w:val="0"/>
          <w:divBdr>
            <w:top w:val="none" w:sz="0" w:space="0" w:color="auto"/>
            <w:left w:val="none" w:sz="0" w:space="0" w:color="auto"/>
            <w:bottom w:val="none" w:sz="0" w:space="0" w:color="auto"/>
            <w:right w:val="none" w:sz="0" w:space="0" w:color="auto"/>
          </w:divBdr>
        </w:div>
        <w:div w:id="1368023358">
          <w:marLeft w:val="0"/>
          <w:marRight w:val="0"/>
          <w:marTop w:val="0"/>
          <w:marBottom w:val="0"/>
          <w:divBdr>
            <w:top w:val="none" w:sz="0" w:space="0" w:color="auto"/>
            <w:left w:val="none" w:sz="0" w:space="0" w:color="auto"/>
            <w:bottom w:val="none" w:sz="0" w:space="0" w:color="auto"/>
            <w:right w:val="none" w:sz="0" w:space="0" w:color="auto"/>
          </w:divBdr>
        </w:div>
        <w:div w:id="748427741">
          <w:marLeft w:val="0"/>
          <w:marRight w:val="0"/>
          <w:marTop w:val="0"/>
          <w:marBottom w:val="0"/>
          <w:divBdr>
            <w:top w:val="none" w:sz="0" w:space="0" w:color="auto"/>
            <w:left w:val="none" w:sz="0" w:space="0" w:color="auto"/>
            <w:bottom w:val="none" w:sz="0" w:space="0" w:color="auto"/>
            <w:right w:val="none" w:sz="0" w:space="0" w:color="auto"/>
          </w:divBdr>
        </w:div>
      </w:divsChild>
    </w:div>
    <w:div w:id="1270509453">
      <w:bodyDiv w:val="1"/>
      <w:marLeft w:val="0"/>
      <w:marRight w:val="0"/>
      <w:marTop w:val="0"/>
      <w:marBottom w:val="0"/>
      <w:divBdr>
        <w:top w:val="none" w:sz="0" w:space="0" w:color="auto"/>
        <w:left w:val="none" w:sz="0" w:space="0" w:color="auto"/>
        <w:bottom w:val="none" w:sz="0" w:space="0" w:color="auto"/>
        <w:right w:val="none" w:sz="0" w:space="0" w:color="auto"/>
      </w:divBdr>
      <w:divsChild>
        <w:div w:id="854226390">
          <w:marLeft w:val="0"/>
          <w:marRight w:val="0"/>
          <w:marTop w:val="0"/>
          <w:marBottom w:val="0"/>
          <w:divBdr>
            <w:top w:val="none" w:sz="0" w:space="0" w:color="auto"/>
            <w:left w:val="none" w:sz="0" w:space="0" w:color="auto"/>
            <w:bottom w:val="none" w:sz="0" w:space="0" w:color="auto"/>
            <w:right w:val="none" w:sz="0" w:space="0" w:color="auto"/>
          </w:divBdr>
        </w:div>
        <w:div w:id="559563205">
          <w:marLeft w:val="0"/>
          <w:marRight w:val="0"/>
          <w:marTop w:val="0"/>
          <w:marBottom w:val="0"/>
          <w:divBdr>
            <w:top w:val="none" w:sz="0" w:space="0" w:color="auto"/>
            <w:left w:val="none" w:sz="0" w:space="0" w:color="auto"/>
            <w:bottom w:val="none" w:sz="0" w:space="0" w:color="auto"/>
            <w:right w:val="none" w:sz="0" w:space="0" w:color="auto"/>
          </w:divBdr>
          <w:divsChild>
            <w:div w:id="1234975440">
              <w:marLeft w:val="0"/>
              <w:marRight w:val="0"/>
              <w:marTop w:val="0"/>
              <w:marBottom w:val="0"/>
              <w:divBdr>
                <w:top w:val="none" w:sz="0" w:space="0" w:color="auto"/>
                <w:left w:val="none" w:sz="0" w:space="0" w:color="auto"/>
                <w:bottom w:val="none" w:sz="0" w:space="0" w:color="auto"/>
                <w:right w:val="none" w:sz="0" w:space="0" w:color="auto"/>
              </w:divBdr>
            </w:div>
            <w:div w:id="17678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C2F9-569C-49A7-A881-BDD3FB74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Jeff</dc:creator>
  <cp:lastModifiedBy>Mary Koski</cp:lastModifiedBy>
  <cp:revision>2</cp:revision>
  <dcterms:created xsi:type="dcterms:W3CDTF">2012-03-22T13:56:00Z</dcterms:created>
  <dcterms:modified xsi:type="dcterms:W3CDTF">2012-03-22T13:56:00Z</dcterms:modified>
</cp:coreProperties>
</file>