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96A" w:rsidRDefault="00473D1A">
      <w:pPr>
        <w:jc w:val="center"/>
      </w:pPr>
      <w:bookmarkStart w:id="0" w:name="_GoBack"/>
      <w:bookmarkEnd w:id="0"/>
      <w:r>
        <w:rPr>
          <w:rFonts w:ascii="Trebuchet MS" w:eastAsia="Trebuchet MS" w:hAnsi="Trebuchet MS" w:cs="Trebuchet MS"/>
          <w:b/>
          <w:color w:val="383838"/>
          <w:sz w:val="24"/>
          <w:szCs w:val="24"/>
        </w:rPr>
        <w:t>Augustana College Department of History</w:t>
      </w:r>
    </w:p>
    <w:p w:rsidR="00C2296A" w:rsidRDefault="00473D1A">
      <w:pPr>
        <w:jc w:val="center"/>
      </w:pPr>
      <w:r>
        <w:rPr>
          <w:rFonts w:ascii="Trebuchet MS" w:eastAsia="Trebuchet MS" w:hAnsi="Trebuchet MS" w:cs="Trebuchet MS"/>
          <w:b/>
          <w:color w:val="383838"/>
          <w:sz w:val="24"/>
          <w:szCs w:val="24"/>
        </w:rPr>
        <w:t>Statement on Expectations</w:t>
      </w:r>
    </w:p>
    <w:p w:rsidR="00C2296A" w:rsidRDefault="00473D1A">
      <w:pPr>
        <w:jc w:val="center"/>
      </w:pPr>
      <w:r>
        <w:rPr>
          <w:rFonts w:ascii="Trebuchet MS" w:eastAsia="Trebuchet MS" w:hAnsi="Trebuchet MS" w:cs="Trebuchet MS"/>
          <w:b/>
          <w:color w:val="383838"/>
          <w:sz w:val="24"/>
          <w:szCs w:val="24"/>
        </w:rPr>
        <w:t>for Tenure &amp; Promotion</w:t>
      </w:r>
    </w:p>
    <w:p w:rsidR="00C2296A" w:rsidRDefault="00473D1A">
      <w:pPr>
        <w:jc w:val="center"/>
      </w:pPr>
      <w:bookmarkStart w:id="1" w:name="h.gjdgxs" w:colFirst="0" w:colLast="0"/>
      <w:bookmarkEnd w:id="1"/>
      <w:r>
        <w:rPr>
          <w:rFonts w:ascii="Trebuchet MS" w:eastAsia="Trebuchet MS" w:hAnsi="Trebuchet MS" w:cs="Trebuchet MS"/>
          <w:b/>
          <w:color w:val="383838"/>
          <w:sz w:val="24"/>
          <w:szCs w:val="24"/>
        </w:rPr>
        <w:t>May 2015</w:t>
      </w:r>
    </w:p>
    <w:p w:rsidR="00C2296A" w:rsidRDefault="00C2296A"/>
    <w:p w:rsidR="00C2296A" w:rsidRDefault="00473D1A">
      <w:r>
        <w:rPr>
          <w:rFonts w:ascii="Trebuchet MS" w:eastAsia="Trebuchet MS" w:hAnsi="Trebuchet MS" w:cs="Trebuchet MS"/>
          <w:color w:val="383838"/>
          <w:sz w:val="24"/>
          <w:szCs w:val="24"/>
        </w:rPr>
        <w:t xml:space="preserve">The history department expects all members of the department to be invested in the project of developing historically-minded individuals through teaching, advising, and mentoring; to participate in the broader mission and development of the college; and to be contributors to scholarly conversations in the field of History. </w:t>
      </w:r>
    </w:p>
    <w:p w:rsidR="00C2296A" w:rsidRDefault="00C2296A"/>
    <w:p w:rsidR="00C2296A" w:rsidRDefault="00473D1A">
      <w:r>
        <w:rPr>
          <w:rFonts w:ascii="Trebuchet MS" w:eastAsia="Trebuchet MS" w:hAnsi="Trebuchet MS" w:cs="Trebuchet MS"/>
          <w:sz w:val="24"/>
          <w:szCs w:val="24"/>
        </w:rPr>
        <w:t xml:space="preserve">We don’t require that all faculty make multiple, simultaneous, high-level commitments in each of the three areas of teaching, service, and professional expression. We do require that successful candidates for tenure and promotion make a case that thoughtfully lays out the path that they have taken to transcend the merely expected in each category, and provides evidence of excellence in teaching and in at least one of the other two areas. </w:t>
      </w:r>
    </w:p>
    <w:p w:rsidR="00C2296A" w:rsidRDefault="00C2296A"/>
    <w:p w:rsidR="00C2296A" w:rsidRPr="00473D1A" w:rsidRDefault="00473D1A">
      <w:r>
        <w:rPr>
          <w:rFonts w:ascii="Trebuchet MS" w:eastAsia="Trebuchet MS" w:hAnsi="Trebuchet MS" w:cs="Trebuchet MS"/>
          <w:sz w:val="24"/>
          <w:szCs w:val="24"/>
        </w:rPr>
        <w:t xml:space="preserve">We assert that scholarly achievement requires the affirmation of professional peers, and successful candidates for tenure must demonstrate significant accomplishment in professional expression. </w:t>
      </w:r>
      <w:r>
        <w:rPr>
          <w:rFonts w:ascii="Trebuchet MS" w:eastAsia="Trebuchet MS" w:hAnsi="Trebuchet MS" w:cs="Trebuchet MS"/>
          <w:color w:val="383838"/>
          <w:sz w:val="24"/>
          <w:szCs w:val="24"/>
        </w:rPr>
        <w:t>At the same time, we recognize that at a small liberal arts college, teaching and learning are of primary importance, and we will not support a candidate for tenure or promotion who does not demonstrate ongoing commitment to and excellence</w:t>
      </w:r>
      <w:r w:rsidR="00E11AD6">
        <w:rPr>
          <w:rFonts w:ascii="Trebuchet MS" w:eastAsia="Trebuchet MS" w:hAnsi="Trebuchet MS" w:cs="Trebuchet MS"/>
          <w:color w:val="383838"/>
          <w:sz w:val="24"/>
          <w:szCs w:val="24"/>
        </w:rPr>
        <w:t xml:space="preserve"> in improving student learning both in the classroom </w:t>
      </w:r>
      <w:r w:rsidR="00E11AD6" w:rsidRPr="00473D1A">
        <w:rPr>
          <w:rFonts w:ascii="Trebuchet MS" w:eastAsia="Trebuchet MS" w:hAnsi="Trebuchet MS" w:cs="Trebuchet MS"/>
          <w:color w:val="383838"/>
          <w:sz w:val="24"/>
          <w:szCs w:val="24"/>
        </w:rPr>
        <w:t>and through formal and informal advising.</w:t>
      </w:r>
    </w:p>
    <w:p w:rsidR="00C2296A" w:rsidRPr="00473D1A" w:rsidRDefault="00C2296A"/>
    <w:p w:rsidR="00C2296A" w:rsidRPr="00473D1A" w:rsidRDefault="00473D1A">
      <w:r w:rsidRPr="00473D1A">
        <w:rPr>
          <w:rFonts w:ascii="Trebuchet MS" w:eastAsia="Trebuchet MS" w:hAnsi="Trebuchet MS" w:cs="Trebuchet MS"/>
          <w:sz w:val="24"/>
          <w:szCs w:val="24"/>
        </w:rPr>
        <w:t>To maintain a healthy balance of commitments for all history faculty, we will ensure opportunities for all department members to develop new courses and to teach at both the introductory and advanced levels. We will strive for departmental complementarity in faculty members’ departmental and institutional service, so that the department as a whole contributes to the leadership, management, and development of the college.</w:t>
      </w:r>
    </w:p>
    <w:p w:rsidR="00C2296A" w:rsidRPr="00473D1A" w:rsidRDefault="00C2296A"/>
    <w:p w:rsidR="00C2296A" w:rsidRPr="00473D1A" w:rsidRDefault="00473D1A">
      <w:r w:rsidRPr="00473D1A">
        <w:rPr>
          <w:rFonts w:ascii="Trebuchet MS" w:eastAsia="Trebuchet MS" w:hAnsi="Trebuchet MS" w:cs="Trebuchet MS"/>
          <w:sz w:val="24"/>
          <w:szCs w:val="24"/>
        </w:rPr>
        <w:t>As a matter of course, we expect the following from all members of the department, and will address these points in regular reviews:</w:t>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C2296A" w:rsidRPr="00473D1A">
        <w:tc>
          <w:tcPr>
            <w:tcW w:w="8856" w:type="dxa"/>
            <w:shd w:val="clear" w:color="auto" w:fill="DDD9C3"/>
          </w:tcPr>
          <w:p w:rsidR="00C2296A" w:rsidRPr="00473D1A" w:rsidRDefault="00473D1A">
            <w:pPr>
              <w:contextualSpacing w:val="0"/>
            </w:pPr>
            <w:r w:rsidRPr="00473D1A">
              <w:rPr>
                <w:rFonts w:ascii="Trebuchet MS" w:eastAsia="Trebuchet MS" w:hAnsi="Trebuchet MS" w:cs="Trebuchet MS"/>
                <w:sz w:val="24"/>
                <w:szCs w:val="24"/>
              </w:rPr>
              <w:t xml:space="preserve">Teaching </w:t>
            </w:r>
          </w:p>
        </w:tc>
      </w:tr>
      <w:tr w:rsidR="00C2296A" w:rsidRPr="00473D1A">
        <w:tc>
          <w:tcPr>
            <w:tcW w:w="8856" w:type="dxa"/>
          </w:tcPr>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Good and/or improving assessment data (IDEA scores, supplementary tools for course-specific learning outcomes, evidence of student learning)</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 xml:space="preserve">High quality course design and response to student &amp; peer feedback </w:t>
            </w:r>
          </w:p>
          <w:p w:rsidR="00C2296A" w:rsidRPr="00473D1A" w:rsidRDefault="00473D1A" w:rsidP="00E11AD6">
            <w:pPr>
              <w:numPr>
                <w:ilvl w:val="0"/>
                <w:numId w:val="1"/>
              </w:numPr>
              <w:ind w:hanging="360"/>
              <w:rPr>
                <w:sz w:val="24"/>
                <w:szCs w:val="24"/>
              </w:rPr>
            </w:pPr>
            <w:r w:rsidRPr="00473D1A">
              <w:rPr>
                <w:rFonts w:ascii="Trebuchet MS" w:eastAsia="Trebuchet MS" w:hAnsi="Trebuchet MS" w:cs="Trebuchet MS"/>
                <w:sz w:val="24"/>
                <w:szCs w:val="24"/>
              </w:rPr>
              <w:t>Participation in formal and informal advising (first-year advi</w:t>
            </w:r>
            <w:r w:rsidR="00E11AD6" w:rsidRPr="00473D1A">
              <w:rPr>
                <w:rFonts w:ascii="Trebuchet MS" w:eastAsia="Trebuchet MS" w:hAnsi="Trebuchet MS" w:cs="Trebuchet MS"/>
                <w:sz w:val="24"/>
                <w:szCs w:val="24"/>
              </w:rPr>
              <w:t xml:space="preserve">sing, advising majors/minors, </w:t>
            </w:r>
            <w:r w:rsidRPr="00473D1A">
              <w:rPr>
                <w:rFonts w:ascii="Trebuchet MS" w:eastAsia="Trebuchet MS" w:hAnsi="Trebuchet MS" w:cs="Trebuchet MS"/>
                <w:sz w:val="24"/>
                <w:szCs w:val="24"/>
              </w:rPr>
              <w:t>significant and sustained mentoring)</w:t>
            </w:r>
            <w:r w:rsidR="00E11AD6" w:rsidRPr="00473D1A">
              <w:t xml:space="preserve"> </w:t>
            </w:r>
          </w:p>
        </w:tc>
      </w:tr>
      <w:tr w:rsidR="00C2296A" w:rsidRPr="00473D1A">
        <w:tc>
          <w:tcPr>
            <w:tcW w:w="8856" w:type="dxa"/>
            <w:shd w:val="clear" w:color="auto" w:fill="DDD9C3"/>
          </w:tcPr>
          <w:p w:rsidR="00C2296A" w:rsidRPr="00473D1A" w:rsidRDefault="00473D1A">
            <w:pPr>
              <w:contextualSpacing w:val="0"/>
            </w:pPr>
            <w:r w:rsidRPr="00473D1A">
              <w:rPr>
                <w:rFonts w:ascii="Trebuchet MS" w:eastAsia="Trebuchet MS" w:hAnsi="Trebuchet MS" w:cs="Trebuchet MS"/>
                <w:sz w:val="24"/>
                <w:szCs w:val="24"/>
              </w:rPr>
              <w:t>Service</w:t>
            </w:r>
          </w:p>
        </w:tc>
      </w:tr>
      <w:tr w:rsidR="00C2296A" w:rsidRPr="00473D1A">
        <w:tc>
          <w:tcPr>
            <w:tcW w:w="8856" w:type="dxa"/>
          </w:tcPr>
          <w:p w:rsidR="00C2296A" w:rsidRPr="00473D1A" w:rsidRDefault="00473D1A">
            <w:pPr>
              <w:numPr>
                <w:ilvl w:val="0"/>
                <w:numId w:val="6"/>
              </w:numPr>
              <w:ind w:hanging="360"/>
              <w:rPr>
                <w:sz w:val="24"/>
                <w:szCs w:val="24"/>
              </w:rPr>
            </w:pPr>
            <w:r w:rsidRPr="00473D1A">
              <w:rPr>
                <w:rFonts w:ascii="Trebuchet MS" w:eastAsia="Trebuchet MS" w:hAnsi="Trebuchet MS" w:cs="Trebuchet MS"/>
                <w:sz w:val="24"/>
                <w:szCs w:val="24"/>
              </w:rPr>
              <w:t xml:space="preserve">Regular contribution to the vitality of the department through participation in department meetings, committee work, search </w:t>
            </w:r>
            <w:r w:rsidRPr="00473D1A">
              <w:rPr>
                <w:rFonts w:ascii="Trebuchet MS" w:eastAsia="Trebuchet MS" w:hAnsi="Trebuchet MS" w:cs="Trebuchet MS"/>
                <w:sz w:val="24"/>
                <w:szCs w:val="24"/>
              </w:rPr>
              <w:lastRenderedPageBreak/>
              <w:t>committees, departmental assessment, campus visit days, etc.</w:t>
            </w:r>
          </w:p>
          <w:p w:rsidR="00C2296A" w:rsidRPr="00473D1A" w:rsidRDefault="00473D1A">
            <w:pPr>
              <w:numPr>
                <w:ilvl w:val="0"/>
                <w:numId w:val="2"/>
              </w:numPr>
              <w:ind w:hanging="360"/>
              <w:rPr>
                <w:sz w:val="24"/>
                <w:szCs w:val="24"/>
              </w:rPr>
            </w:pPr>
            <w:r w:rsidRPr="00473D1A">
              <w:rPr>
                <w:rFonts w:ascii="Trebuchet MS" w:eastAsia="Trebuchet MS" w:hAnsi="Trebuchet MS" w:cs="Trebuchet MS"/>
                <w:sz w:val="24"/>
                <w:szCs w:val="24"/>
              </w:rPr>
              <w:t>Contributing on a regular basis to other programs (LSFY, interdisciplinary programs) as warranted by position</w:t>
            </w:r>
          </w:p>
        </w:tc>
      </w:tr>
      <w:tr w:rsidR="00C2296A" w:rsidRPr="00473D1A">
        <w:trPr>
          <w:trHeight w:val="300"/>
        </w:trPr>
        <w:tc>
          <w:tcPr>
            <w:tcW w:w="8856" w:type="dxa"/>
            <w:shd w:val="clear" w:color="auto" w:fill="DDD9C3"/>
          </w:tcPr>
          <w:p w:rsidR="00C2296A" w:rsidRPr="00473D1A" w:rsidRDefault="00473D1A">
            <w:pPr>
              <w:contextualSpacing w:val="0"/>
            </w:pPr>
            <w:r w:rsidRPr="00473D1A">
              <w:rPr>
                <w:rFonts w:ascii="Trebuchet MS" w:eastAsia="Trebuchet MS" w:hAnsi="Trebuchet MS" w:cs="Trebuchet MS"/>
                <w:sz w:val="24"/>
                <w:szCs w:val="24"/>
              </w:rPr>
              <w:lastRenderedPageBreak/>
              <w:t>Professional Expression and Development</w:t>
            </w:r>
          </w:p>
        </w:tc>
      </w:tr>
      <w:tr w:rsidR="00C2296A" w:rsidRPr="00473D1A">
        <w:tc>
          <w:tcPr>
            <w:tcW w:w="8856" w:type="dxa"/>
          </w:tcPr>
          <w:p w:rsidR="00C2296A" w:rsidRPr="00473D1A" w:rsidRDefault="00473D1A">
            <w:pPr>
              <w:numPr>
                <w:ilvl w:val="0"/>
                <w:numId w:val="2"/>
              </w:numPr>
              <w:ind w:hanging="360"/>
              <w:rPr>
                <w:sz w:val="24"/>
                <w:szCs w:val="24"/>
              </w:rPr>
            </w:pPr>
            <w:r w:rsidRPr="00473D1A">
              <w:rPr>
                <w:rFonts w:ascii="Trebuchet MS" w:eastAsia="Trebuchet MS" w:hAnsi="Trebuchet MS" w:cs="Trebuchet MS"/>
                <w:sz w:val="24"/>
                <w:szCs w:val="24"/>
              </w:rPr>
              <w:t>Active engagement and contributions to the scholarship of discovery in the discipline of history. Examples would include</w:t>
            </w:r>
          </w:p>
          <w:p w:rsidR="00C2296A" w:rsidRPr="00473D1A" w:rsidRDefault="00473D1A">
            <w:pPr>
              <w:numPr>
                <w:ilvl w:val="1"/>
                <w:numId w:val="2"/>
              </w:numPr>
              <w:ind w:hanging="360"/>
              <w:rPr>
                <w:sz w:val="24"/>
                <w:szCs w:val="24"/>
              </w:rPr>
            </w:pPr>
            <w:r w:rsidRPr="00473D1A">
              <w:rPr>
                <w:rFonts w:ascii="Trebuchet MS" w:eastAsia="Trebuchet MS" w:hAnsi="Trebuchet MS" w:cs="Trebuchet MS"/>
                <w:sz w:val="24"/>
                <w:szCs w:val="24"/>
              </w:rPr>
              <w:t>peer-reviewed scholarship (publication, articles submitted, manuscript under review, work on edited volumes)AND/ OR</w:t>
            </w:r>
          </w:p>
          <w:p w:rsidR="00C2296A" w:rsidRPr="00473D1A" w:rsidRDefault="00473D1A">
            <w:pPr>
              <w:numPr>
                <w:ilvl w:val="1"/>
                <w:numId w:val="2"/>
              </w:numPr>
              <w:ind w:hanging="360"/>
              <w:rPr>
                <w:sz w:val="24"/>
                <w:szCs w:val="24"/>
              </w:rPr>
            </w:pPr>
            <w:r w:rsidRPr="00473D1A">
              <w:rPr>
                <w:rFonts w:ascii="Trebuchet MS" w:eastAsia="Trebuchet MS" w:hAnsi="Trebuchet MS" w:cs="Trebuchet MS"/>
                <w:sz w:val="24"/>
                <w:szCs w:val="24"/>
              </w:rPr>
              <w:t>Contributions to digital or public history projects, work with museums, historical societies, or historic sites</w:t>
            </w:r>
          </w:p>
        </w:tc>
      </w:tr>
    </w:tbl>
    <w:p w:rsidR="00C2296A" w:rsidRPr="00473D1A" w:rsidRDefault="00C2296A"/>
    <w:p w:rsidR="00C2296A" w:rsidRPr="00473D1A" w:rsidRDefault="00473D1A">
      <w:r w:rsidRPr="00473D1A">
        <w:rPr>
          <w:rFonts w:ascii="Trebuchet MS" w:eastAsia="Trebuchet MS" w:hAnsi="Trebuchet MS" w:cs="Trebuchet MS"/>
          <w:b/>
          <w:sz w:val="24"/>
          <w:szCs w:val="24"/>
        </w:rPr>
        <w:t>Expectations for Tenure</w:t>
      </w:r>
    </w:p>
    <w:p w:rsidR="00C2296A" w:rsidRPr="00473D1A" w:rsidRDefault="00473D1A">
      <w:r w:rsidRPr="00473D1A">
        <w:rPr>
          <w:rFonts w:ascii="Trebuchet MS" w:eastAsia="Trebuchet MS" w:hAnsi="Trebuchet MS" w:cs="Trebuchet MS"/>
          <w:sz w:val="24"/>
          <w:szCs w:val="24"/>
        </w:rPr>
        <w:t xml:space="preserve">To present a </w:t>
      </w:r>
      <w:r w:rsidRPr="00473D1A">
        <w:rPr>
          <w:rFonts w:ascii="Trebuchet MS" w:eastAsia="Trebuchet MS" w:hAnsi="Trebuchet MS" w:cs="Trebuchet MS"/>
          <w:sz w:val="24"/>
          <w:szCs w:val="24"/>
          <w:u w:val="single"/>
        </w:rPr>
        <w:t>successful</w:t>
      </w:r>
      <w:r w:rsidRPr="00473D1A">
        <w:rPr>
          <w:rFonts w:ascii="Trebuchet MS" w:eastAsia="Trebuchet MS" w:hAnsi="Trebuchet MS" w:cs="Trebuchet MS"/>
          <w:sz w:val="24"/>
          <w:szCs w:val="24"/>
        </w:rPr>
        <w:t xml:space="preserve"> case for tenure, however, candidates must demonstrate accomplishments that go beyond mere competence and attest to extra-ordinary achievement in teaching and in at least one of the other two areas. </w:t>
      </w:r>
    </w:p>
    <w:p w:rsidR="00C2296A" w:rsidRPr="00473D1A" w:rsidRDefault="00C2296A"/>
    <w:p w:rsidR="00C2296A" w:rsidRPr="00473D1A" w:rsidRDefault="00473D1A">
      <w:r w:rsidRPr="00473D1A">
        <w:rPr>
          <w:rFonts w:ascii="Trebuchet MS" w:eastAsia="Trebuchet MS" w:hAnsi="Trebuchet MS" w:cs="Trebuchet MS"/>
          <w:sz w:val="24"/>
          <w:szCs w:val="24"/>
        </w:rPr>
        <w:t xml:space="preserve">The following is meant as a list of some ways that a candidate for tenure might begin to demonstrate excellence in each area. Achieving one of the bullet points in each area may or may not be enough for excellence; not all of the bullet points represent equal levels of difficulty or achievement.  The candidate should consider factors such as the competitiveness of grants awarded, the scope of the activity’s impact (local, national, international), leadership positions held, student mentoring that leads to publication, and progress achieved (manuscript under consideration vs. published) in making a case for the merit of each activity.  </w:t>
      </w:r>
    </w:p>
    <w:p w:rsidR="00C2296A" w:rsidRPr="00473D1A" w:rsidRDefault="00C2296A"/>
    <w:tbl>
      <w:tblPr>
        <w:tblStyle w:val="a0"/>
        <w:tblW w:w="82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8"/>
      </w:tblGrid>
      <w:tr w:rsidR="00C2296A" w:rsidRPr="00473D1A">
        <w:tc>
          <w:tcPr>
            <w:tcW w:w="8298" w:type="dxa"/>
            <w:shd w:val="clear" w:color="auto" w:fill="DDD9C3"/>
          </w:tcPr>
          <w:p w:rsidR="00C2296A" w:rsidRPr="00473D1A" w:rsidRDefault="00473D1A">
            <w:pPr>
              <w:contextualSpacing w:val="0"/>
            </w:pPr>
            <w:r w:rsidRPr="00473D1A">
              <w:rPr>
                <w:rFonts w:ascii="Trebuchet MS" w:eastAsia="Trebuchet MS" w:hAnsi="Trebuchet MS" w:cs="Trebuchet MS"/>
                <w:sz w:val="24"/>
                <w:szCs w:val="24"/>
              </w:rPr>
              <w:t>Teaching</w:t>
            </w:r>
          </w:p>
        </w:tc>
      </w:tr>
      <w:tr w:rsidR="00C2296A" w:rsidRPr="00473D1A">
        <w:tc>
          <w:tcPr>
            <w:tcW w:w="8298" w:type="dxa"/>
          </w:tcPr>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Participating in campus initiatives to support teaching (receiving Connections grants, leading workshops, taking part in teaching observation groups)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 xml:space="preserve">Consistent record of useful pedagogical innovation (new methods of course delivery, evaluation, developing new courses) </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 xml:space="preserve">Evidence of successful </w:t>
            </w:r>
            <w:r w:rsidR="00E11AD6" w:rsidRPr="00473D1A">
              <w:rPr>
                <w:rFonts w:ascii="Trebuchet MS" w:eastAsia="Trebuchet MS" w:hAnsi="Trebuchet MS" w:cs="Trebuchet MS"/>
                <w:sz w:val="24"/>
                <w:szCs w:val="24"/>
              </w:rPr>
              <w:t xml:space="preserve">advising (participation in departmental advising programming, data from advisee surveys, </w:t>
            </w:r>
            <w:r w:rsidR="00D802BD" w:rsidRPr="00473D1A">
              <w:rPr>
                <w:rFonts w:ascii="Trebuchet MS" w:eastAsia="Trebuchet MS" w:hAnsi="Trebuchet MS" w:cs="Trebuchet MS"/>
                <w:sz w:val="24"/>
                <w:szCs w:val="24"/>
              </w:rPr>
              <w:t>testimonies</w:t>
            </w:r>
            <w:r w:rsidR="00E11AD6" w:rsidRPr="00473D1A">
              <w:rPr>
                <w:rFonts w:ascii="Trebuchet MS" w:eastAsia="Trebuchet MS" w:hAnsi="Trebuchet MS" w:cs="Trebuchet MS"/>
                <w:sz w:val="24"/>
                <w:szCs w:val="24"/>
              </w:rPr>
              <w:t xml:space="preserve"> from current/former students)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Substantive teaching contributions to other departments/programs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Participation/initiative in teaching outside regular courses: arranging for invited speakers, presenting at Salons, guest teaching, academic presentations to student groups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 xml:space="preserve">Ongoing teaching in non-credit-bearing circumstances: supervising internships &amp; directed studies, honors SI projects, Capstone projects, working with students on conference papers/ presentations </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 xml:space="preserve">Leading study abroad experiences </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Presenting teaching workshops off-campus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lastRenderedPageBreak/>
              <w:t>Participating in working groups on teaching within professional organizations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Awards for teaching excellence</w:t>
            </w:r>
          </w:p>
        </w:tc>
      </w:tr>
      <w:tr w:rsidR="00C2296A" w:rsidRPr="00473D1A">
        <w:tc>
          <w:tcPr>
            <w:tcW w:w="8298" w:type="dxa"/>
            <w:shd w:val="clear" w:color="auto" w:fill="DDD9C3"/>
          </w:tcPr>
          <w:p w:rsidR="00C2296A" w:rsidRPr="00473D1A" w:rsidRDefault="00473D1A">
            <w:pPr>
              <w:contextualSpacing w:val="0"/>
            </w:pPr>
            <w:r w:rsidRPr="00473D1A">
              <w:rPr>
                <w:rFonts w:ascii="Trebuchet MS" w:eastAsia="Trebuchet MS" w:hAnsi="Trebuchet MS" w:cs="Trebuchet MS"/>
                <w:sz w:val="24"/>
                <w:szCs w:val="24"/>
              </w:rPr>
              <w:lastRenderedPageBreak/>
              <w:t>Service</w:t>
            </w:r>
          </w:p>
        </w:tc>
      </w:tr>
      <w:tr w:rsidR="00C2296A" w:rsidRPr="00473D1A">
        <w:tc>
          <w:tcPr>
            <w:tcW w:w="8298" w:type="dxa"/>
          </w:tcPr>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Advising student groups</w:t>
            </w:r>
          </w:p>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Service on lower-commitment campus committees</w:t>
            </w:r>
          </w:p>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Service on interdisciplinary program committees</w:t>
            </w:r>
          </w:p>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 xml:space="preserve">Substantive contribution to departmental and/or campus programming: inviting speakers, participating in panel discussions with broader student body, supervising field trips, etc. </w:t>
            </w:r>
          </w:p>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Service on high-commitment campus committees (Faculty Welfare, Gen Ed, EPC, Faculty Council)</w:t>
            </w:r>
          </w:p>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Generating and/or leading productive campus initiatives</w:t>
            </w:r>
          </w:p>
          <w:p w:rsidR="00C2296A" w:rsidRPr="00473D1A" w:rsidRDefault="00473D1A">
            <w:pPr>
              <w:numPr>
                <w:ilvl w:val="0"/>
                <w:numId w:val="3"/>
              </w:numPr>
              <w:ind w:hanging="360"/>
              <w:rPr>
                <w:sz w:val="24"/>
                <w:szCs w:val="24"/>
              </w:rPr>
            </w:pPr>
            <w:r w:rsidRPr="00473D1A">
              <w:rPr>
                <w:rFonts w:ascii="Trebuchet MS" w:eastAsia="Trebuchet MS" w:hAnsi="Trebuchet MS" w:cs="Trebuchet MS"/>
                <w:sz w:val="24"/>
                <w:szCs w:val="24"/>
              </w:rPr>
              <w:t>Evidence of high-impact or ongoing service on campus, in the community and/or profession</w:t>
            </w:r>
          </w:p>
        </w:tc>
      </w:tr>
      <w:tr w:rsidR="00C2296A" w:rsidRPr="00473D1A">
        <w:tc>
          <w:tcPr>
            <w:tcW w:w="8298" w:type="dxa"/>
            <w:shd w:val="clear" w:color="auto" w:fill="DDD9C3"/>
          </w:tcPr>
          <w:p w:rsidR="00C2296A" w:rsidRPr="00473D1A" w:rsidRDefault="00473D1A">
            <w:pPr>
              <w:contextualSpacing w:val="0"/>
            </w:pPr>
            <w:r w:rsidRPr="00473D1A">
              <w:rPr>
                <w:rFonts w:ascii="Trebuchet MS" w:eastAsia="Trebuchet MS" w:hAnsi="Trebuchet MS" w:cs="Trebuchet MS"/>
                <w:sz w:val="24"/>
                <w:szCs w:val="24"/>
              </w:rPr>
              <w:t>Professional Expression and Development</w:t>
            </w:r>
          </w:p>
        </w:tc>
      </w:tr>
      <w:tr w:rsidR="00C2296A" w:rsidRPr="00473D1A">
        <w:trPr>
          <w:trHeight w:val="5300"/>
        </w:trPr>
        <w:tc>
          <w:tcPr>
            <w:tcW w:w="8298" w:type="dxa"/>
          </w:tcPr>
          <w:p w:rsidR="00C2296A" w:rsidRPr="00473D1A" w:rsidRDefault="00473D1A">
            <w:pPr>
              <w:numPr>
                <w:ilvl w:val="0"/>
                <w:numId w:val="5"/>
              </w:numPr>
              <w:ind w:hanging="360"/>
              <w:rPr>
                <w:sz w:val="24"/>
                <w:szCs w:val="24"/>
              </w:rPr>
            </w:pPr>
            <w:r w:rsidRPr="00473D1A">
              <w:rPr>
                <w:rFonts w:ascii="Trebuchet MS" w:eastAsia="Trebuchet MS" w:hAnsi="Trebuchet MS" w:cs="Trebuchet MS"/>
                <w:sz w:val="24"/>
                <w:szCs w:val="24"/>
              </w:rPr>
              <w:t>Reviews of recently-published books (websites, digital histories, etc.)</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Professional outreach (op-ed pieces, documentary film, television interviews)</w:t>
            </w:r>
          </w:p>
          <w:p w:rsidR="00C2296A" w:rsidRPr="00473D1A" w:rsidRDefault="00473D1A">
            <w:pPr>
              <w:numPr>
                <w:ilvl w:val="0"/>
                <w:numId w:val="5"/>
              </w:numPr>
              <w:ind w:hanging="360"/>
              <w:rPr>
                <w:sz w:val="24"/>
                <w:szCs w:val="24"/>
              </w:rPr>
            </w:pPr>
            <w:r w:rsidRPr="00473D1A">
              <w:rPr>
                <w:rFonts w:ascii="Trebuchet MS" w:eastAsia="Trebuchet MS" w:hAnsi="Trebuchet MS" w:cs="Trebuchet MS"/>
                <w:sz w:val="24"/>
                <w:szCs w:val="24"/>
              </w:rPr>
              <w:t>Receipt of competitive internal grants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Organizing/participating on conference panels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Multiple invited lectures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Contributions to online publications/websites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Invited commentary on conference panels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Service as external evaluator for scholarly manuscripts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Service as outside evaluator for academic programs, public history productions, community initiatives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 xml:space="preserve">Peer-reviewed publication in journals or anthologies, which may include Scholarship of Teaching &amp; Learning </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Receipt of competitive external grants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Editing publications or special journal issues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Service on editorial boards of journals/publication series</w:t>
            </w:r>
          </w:p>
          <w:p w:rsidR="00C2296A" w:rsidRPr="00473D1A" w:rsidRDefault="00473D1A">
            <w:pPr>
              <w:numPr>
                <w:ilvl w:val="0"/>
                <w:numId w:val="4"/>
              </w:numPr>
              <w:ind w:hanging="360"/>
              <w:rPr>
                <w:sz w:val="24"/>
                <w:szCs w:val="24"/>
              </w:rPr>
            </w:pPr>
            <w:r w:rsidRPr="00473D1A">
              <w:rPr>
                <w:rFonts w:ascii="Trebuchet MS" w:eastAsia="Trebuchet MS" w:hAnsi="Trebuchet MS" w:cs="Trebuchet MS"/>
                <w:sz w:val="24"/>
                <w:szCs w:val="24"/>
              </w:rPr>
              <w:t>Service on boards or committees of professional organizations</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Publication of a monograph or textbook</w:t>
            </w:r>
          </w:p>
          <w:p w:rsidR="00C2296A" w:rsidRPr="00473D1A" w:rsidRDefault="00473D1A">
            <w:pPr>
              <w:numPr>
                <w:ilvl w:val="0"/>
                <w:numId w:val="1"/>
              </w:numPr>
              <w:ind w:hanging="360"/>
              <w:rPr>
                <w:sz w:val="24"/>
                <w:szCs w:val="24"/>
              </w:rPr>
            </w:pPr>
            <w:r w:rsidRPr="00473D1A">
              <w:rPr>
                <w:rFonts w:ascii="Trebuchet MS" w:eastAsia="Trebuchet MS" w:hAnsi="Trebuchet MS" w:cs="Trebuchet MS"/>
                <w:sz w:val="24"/>
                <w:szCs w:val="24"/>
              </w:rPr>
              <w:t>Receipt of awards for excellence in scholarship</w:t>
            </w:r>
          </w:p>
        </w:tc>
      </w:tr>
    </w:tbl>
    <w:p w:rsidR="00C2296A" w:rsidRPr="00473D1A" w:rsidRDefault="00C2296A"/>
    <w:p w:rsidR="00C2296A" w:rsidRDefault="00473D1A">
      <w:r w:rsidRPr="00473D1A">
        <w:rPr>
          <w:rFonts w:ascii="Trebuchet MS" w:eastAsia="Trebuchet MS" w:hAnsi="Trebuchet MS" w:cs="Trebuchet MS"/>
          <w:b/>
          <w:sz w:val="24"/>
          <w:szCs w:val="24"/>
        </w:rPr>
        <w:t>Expectations for Promotion</w:t>
      </w:r>
    </w:p>
    <w:p w:rsidR="00C2296A" w:rsidRDefault="00473D1A">
      <w:r>
        <w:rPr>
          <w:rFonts w:ascii="Trebuchet MS" w:eastAsia="Trebuchet MS" w:hAnsi="Trebuchet MS" w:cs="Trebuchet MS"/>
          <w:sz w:val="24"/>
          <w:szCs w:val="24"/>
        </w:rPr>
        <w:t xml:space="preserve">Candidates for promotion to full professor will be evaluated according to the criteria listed above and will be expected to provide evidence of achievements in all three areas as well as proof of a significant contribution to the profession, college, or department. </w:t>
      </w:r>
    </w:p>
    <w:p w:rsidR="00C2296A" w:rsidRDefault="00C2296A"/>
    <w:p w:rsidR="00C2296A" w:rsidRDefault="00473D1A">
      <w:r>
        <w:rPr>
          <w:rFonts w:ascii="Trebuchet MS" w:eastAsia="Trebuchet MS" w:hAnsi="Trebuchet MS" w:cs="Trebuchet MS"/>
          <w:sz w:val="24"/>
          <w:szCs w:val="24"/>
          <w:u w:val="single"/>
        </w:rPr>
        <w:t>Teaching</w:t>
      </w:r>
      <w:r>
        <w:rPr>
          <w:rFonts w:ascii="Trebuchet MS" w:eastAsia="Trebuchet MS" w:hAnsi="Trebuchet MS" w:cs="Trebuchet MS"/>
          <w:sz w:val="24"/>
          <w:szCs w:val="24"/>
        </w:rPr>
        <w:t xml:space="preserve">: Because of the importance we place on teaching at Augustana, candidates must continue to demonstrate a record of success in the classroom.  Tenured professors may elect not to collect IDEA form data for each class, </w:t>
      </w:r>
      <w:r>
        <w:rPr>
          <w:rFonts w:ascii="Trebuchet MS" w:eastAsia="Trebuchet MS" w:hAnsi="Trebuchet MS" w:cs="Trebuchet MS"/>
          <w:sz w:val="24"/>
          <w:szCs w:val="24"/>
        </w:rPr>
        <w:lastRenderedPageBreak/>
        <w:t>though candidates for promotion are expected to demonstrate effectiveness through appropriate evaluation tools, and to solicit feedback from other faculty members through classroom observation</w:t>
      </w:r>
      <w:r w:rsidRPr="003C352B">
        <w:rPr>
          <w:rFonts w:ascii="Trebuchet MS" w:eastAsia="Trebuchet MS" w:hAnsi="Trebuchet MS" w:cs="Trebuchet MS"/>
          <w:sz w:val="24"/>
          <w:szCs w:val="24"/>
        </w:rPr>
        <w:t>.  Faculty should provide evidence of advising that goes beyond the selection of courses.</w:t>
      </w:r>
    </w:p>
    <w:p w:rsidR="00C2296A" w:rsidRDefault="00473D1A">
      <w:r>
        <w:rPr>
          <w:rFonts w:ascii="Trebuchet MS" w:eastAsia="Trebuchet MS" w:hAnsi="Trebuchet MS" w:cs="Trebuchet MS"/>
          <w:sz w:val="24"/>
          <w:szCs w:val="24"/>
          <w:u w:val="single"/>
        </w:rPr>
        <w:t xml:space="preserve">Service: </w:t>
      </w:r>
      <w:r>
        <w:rPr>
          <w:rFonts w:ascii="Trebuchet MS" w:eastAsia="Trebuchet MS" w:hAnsi="Trebuchet MS" w:cs="Trebuchet MS"/>
          <w:sz w:val="24"/>
          <w:szCs w:val="24"/>
        </w:rPr>
        <w:t>Tenured faculty members have more opportunities for service based on their experience, and thus will be expected to take on leadership roles; candidates should demonstrate growth in this area between tenure and promotion. For example, candidates would be expected to serve as department chair, program coordinator; and/or chair or serve on at least one high-commitment campus committees.  Service beyond the campus is not required, but can effectively demonstrate the candidate’s contribution to liberal education in its broader sense.</w:t>
      </w:r>
    </w:p>
    <w:p w:rsidR="00C2296A" w:rsidRDefault="00473D1A">
      <w:r>
        <w:rPr>
          <w:rFonts w:ascii="Trebuchet MS" w:eastAsia="Trebuchet MS" w:hAnsi="Trebuchet MS" w:cs="Trebuchet MS"/>
          <w:sz w:val="24"/>
          <w:szCs w:val="24"/>
          <w:u w:val="single"/>
        </w:rPr>
        <w:t>Professional Expression and Development</w:t>
      </w:r>
      <w:r>
        <w:rPr>
          <w:rFonts w:ascii="Trebuchet MS" w:eastAsia="Trebuchet MS" w:hAnsi="Trebuchet MS" w:cs="Trebuchet MS"/>
          <w:sz w:val="24"/>
          <w:szCs w:val="24"/>
        </w:rPr>
        <w:t>: Professional activity should be maintained throughout a faculty member’s career, though it may take different forms at different points. Tenured faculty may elect to explore new forms of public expression, experiment with innovative forms of scholarship, devote more time to consulting, shift focus from primary-source-based research to editing, etc. Candidates should be prepared to demonstrate substantive engagement with and influence within their field(s) as well as the recognition of academic peers beyond the campus.</w:t>
      </w:r>
    </w:p>
    <w:p w:rsidR="00C2296A" w:rsidRDefault="00C2296A"/>
    <w:p w:rsidR="00C2296A" w:rsidRDefault="00C2296A"/>
    <w:p w:rsidR="00C2296A" w:rsidRDefault="00C2296A">
      <w:pPr>
        <w:ind w:left="360"/>
      </w:pPr>
    </w:p>
    <w:sectPr w:rsidR="00C2296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5F7"/>
    <w:multiLevelType w:val="multilevel"/>
    <w:tmpl w:val="4A6C6C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9C35CDE"/>
    <w:multiLevelType w:val="multilevel"/>
    <w:tmpl w:val="F49235E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656AA6"/>
    <w:multiLevelType w:val="multilevel"/>
    <w:tmpl w:val="598CE0F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79E4AE2"/>
    <w:multiLevelType w:val="multilevel"/>
    <w:tmpl w:val="107E037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C4B1FC5"/>
    <w:multiLevelType w:val="multilevel"/>
    <w:tmpl w:val="234A38E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EBB3AD5"/>
    <w:multiLevelType w:val="multilevel"/>
    <w:tmpl w:val="91A60BA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2296A"/>
    <w:rsid w:val="003C352B"/>
    <w:rsid w:val="00473D1A"/>
    <w:rsid w:val="009D301C"/>
    <w:rsid w:val="00C2296A"/>
    <w:rsid w:val="00D802BD"/>
    <w:rsid w:val="00DE573A"/>
    <w:rsid w:val="00E1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Jane</dc:creator>
  <cp:lastModifiedBy>Leslie DuPree</cp:lastModifiedBy>
  <cp:revision>2</cp:revision>
  <dcterms:created xsi:type="dcterms:W3CDTF">2016-02-18T21:02:00Z</dcterms:created>
  <dcterms:modified xsi:type="dcterms:W3CDTF">2016-02-18T21:02:00Z</dcterms:modified>
</cp:coreProperties>
</file>